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A5478" w14:textId="77777777" w:rsidR="00496FF3" w:rsidRDefault="00496FF3" w:rsidP="00446A5D">
      <w:pPr>
        <w:pStyle w:val="Heading1"/>
        <w:rPr>
          <w:lang w:bidi="fa-IR"/>
        </w:rPr>
      </w:pPr>
    </w:p>
    <w:p w14:paraId="21100839" w14:textId="77777777" w:rsidR="00496FF3" w:rsidRDefault="00496FF3">
      <w:pPr>
        <w:pStyle w:val="Heading1"/>
      </w:pPr>
    </w:p>
    <w:p w14:paraId="5E7793FC" w14:textId="77777777" w:rsidR="00496FF3" w:rsidRDefault="00496FF3">
      <w:pPr>
        <w:pStyle w:val="Heading1"/>
      </w:pPr>
    </w:p>
    <w:p w14:paraId="20AED635" w14:textId="77777777" w:rsidR="00496FF3" w:rsidRDefault="00496FF3">
      <w:pPr>
        <w:pStyle w:val="Heading1"/>
      </w:pPr>
    </w:p>
    <w:p w14:paraId="6C01D20C" w14:textId="77777777" w:rsidR="00496FF3" w:rsidRDefault="00496FF3">
      <w:pPr>
        <w:pStyle w:val="Heading1"/>
      </w:pPr>
    </w:p>
    <w:p w14:paraId="73FAB2CD" w14:textId="77777777" w:rsidR="00496FF3" w:rsidRDefault="00496FF3">
      <w:pPr>
        <w:pStyle w:val="Heading1"/>
      </w:pPr>
    </w:p>
    <w:p w14:paraId="673CDF30" w14:textId="77777777" w:rsidR="00496FF3" w:rsidRDefault="00496FF3">
      <w:pPr>
        <w:pStyle w:val="Heading1"/>
      </w:pPr>
    </w:p>
    <w:p w14:paraId="4C108439" w14:textId="77777777" w:rsidR="00496FF3" w:rsidRDefault="00496FF3">
      <w:pPr>
        <w:pStyle w:val="Heading1"/>
      </w:pPr>
    </w:p>
    <w:p w14:paraId="7C8C03E3" w14:textId="42429B67" w:rsidR="008230C7" w:rsidRDefault="00000000">
      <w:pPr>
        <w:pStyle w:val="Heading1"/>
      </w:pPr>
      <w:r>
        <w:t xml:space="preserve">1. </w:t>
      </w:r>
      <w:r w:rsidR="00734923">
        <w:t xml:space="preserve">Introduction </w:t>
      </w:r>
    </w:p>
    <w:p w14:paraId="54C45A19" w14:textId="77777777" w:rsidR="00734923" w:rsidRDefault="00734923" w:rsidP="00734923">
      <w:pPr>
        <w:pStyle w:val="p1"/>
      </w:pPr>
      <w:r>
        <w:t xml:space="preserve">Australia’s transition from conventional </w:t>
      </w:r>
      <w:r w:rsidRPr="00734923">
        <w:t xml:space="preserve">demolition to </w:t>
      </w:r>
      <w:r w:rsidRPr="00734923">
        <w:rPr>
          <w:rStyle w:val="s1"/>
        </w:rPr>
        <w:t>building deconstruction</w:t>
      </w:r>
      <w:r w:rsidRPr="00734923">
        <w:t xml:space="preserve"> and </w:t>
      </w:r>
      <w:r w:rsidRPr="00734923">
        <w:rPr>
          <w:rStyle w:val="s1"/>
        </w:rPr>
        <w:t>material salvage</w:t>
      </w:r>
      <w:r w:rsidRPr="00734923">
        <w:t xml:space="preserve"> is increasingly framed as a practical pathway to a circular built environment; however, implementation remains constrained by a fragmented governance landscape that spans federal, state/territory, and local instruments. In practice, deconstruction is governed indirectly—through dispersed planning provisions, waste</w:t>
      </w:r>
      <w:r>
        <w:t xml:space="preserve"> and resource-recovery policies, building regulations, procurement rules, and workplace requirements—rather than through a coherent regulatory “chain” that clearly defines responsibilities, establishes enabling pathways, and reduces uncertainty for industry. </w:t>
      </w:r>
      <w:r>
        <w:rPr>
          <w:rStyle w:val="s1"/>
          <w:b/>
          <w:bCs/>
        </w:rPr>
        <w:t>[Add numbers to show the significance of deconstruction—e.g., construction and demolition waste volumes, landfill diversion rates, embodied-carbon implications, and the share of building-related materials in national waste/ emissions.]</w:t>
      </w:r>
    </w:p>
    <w:p w14:paraId="1563635E" w14:textId="77777777" w:rsidR="00734923" w:rsidRDefault="00734923" w:rsidP="00734923">
      <w:pPr>
        <w:pStyle w:val="p1"/>
      </w:pPr>
      <w:r>
        <w:t xml:space="preserve">A central barrier is that policy language often emphasises generic “waste diversion” outcomes, which can be compatible with crushing, downcycling, and conventional demolition logistics, while offering limited specificity on </w:t>
      </w:r>
      <w:r>
        <w:rPr>
          <w:rStyle w:val="s1"/>
          <w:b/>
          <w:bCs/>
        </w:rPr>
        <w:t>disassembly</w:t>
      </w:r>
      <w:r>
        <w:t xml:space="preserve">, </w:t>
      </w:r>
      <w:r>
        <w:rPr>
          <w:rStyle w:val="s1"/>
          <w:b/>
          <w:bCs/>
        </w:rPr>
        <w:t>component reuse</w:t>
      </w:r>
      <w:r>
        <w:t xml:space="preserve">, and evidence-based certification pathways for reused materials. This definitional ambiguity makes it difficult to identify where regulation actively enables deconstruction, where it is silent, and where it unintentionally creates barriers (e.g., risk-averse procurement norms, unclear permitting requirements, or lack of reuse certification). </w:t>
      </w:r>
      <w:r>
        <w:rPr>
          <w:rStyle w:val="s1"/>
          <w:b/>
          <w:bCs/>
        </w:rPr>
        <w:t>[Add a short paragraph that defines “deconstruction,” “selective demolition/soft strip,” “salvage,” and “reuse” as used in this paper; explicitly distinguish them from demolition and from generic recycling.]</w:t>
      </w:r>
    </w:p>
    <w:p w14:paraId="20E7DD40" w14:textId="77777777" w:rsidR="00734923" w:rsidRDefault="00734923" w:rsidP="00734923">
      <w:pPr>
        <w:pStyle w:val="p2"/>
      </w:pPr>
    </w:p>
    <w:p w14:paraId="7A1F9A64" w14:textId="77777777" w:rsidR="00734923" w:rsidRPr="00734923" w:rsidRDefault="00734923" w:rsidP="00734923">
      <w:pPr>
        <w:pStyle w:val="p1"/>
      </w:pPr>
      <w:r>
        <w:lastRenderedPageBreak/>
        <w:t xml:space="preserve">Methodologically, the Australian </w:t>
      </w:r>
      <w:r w:rsidRPr="00734923">
        <w:t xml:space="preserve">deconstruction governance landscape is difficult to analyse using manual review alone: the relevant content is distributed across heterogeneous document types (acts, regulations, strategies, guidance, and local policies), expressed in inconsistent terminology, and often embedded in long PDF instruments. This creates a need for a </w:t>
      </w:r>
      <w:r w:rsidRPr="00734923">
        <w:rPr>
          <w:rStyle w:val="s1"/>
        </w:rPr>
        <w:t xml:space="preserve">systematic, auditable, and </w:t>
      </w:r>
      <w:proofErr w:type="spellStart"/>
      <w:r w:rsidRPr="00734923">
        <w:rPr>
          <w:rStyle w:val="s1"/>
        </w:rPr>
        <w:t>queryable</w:t>
      </w:r>
      <w:proofErr w:type="spellEnd"/>
      <w:r w:rsidRPr="00734923">
        <w:t xml:space="preserve"> approach that can (</w:t>
      </w:r>
      <w:proofErr w:type="spellStart"/>
      <w:r w:rsidRPr="00734923">
        <w:t>i</w:t>
      </w:r>
      <w:proofErr w:type="spellEnd"/>
      <w:r w:rsidRPr="00734923">
        <w:t xml:space="preserve">) scale to large corpora, (ii) preserve provenance back to original sources, and (iii) support structured comparison across jurisdictions. </w:t>
      </w:r>
      <w:r w:rsidRPr="00734923">
        <w:rPr>
          <w:rStyle w:val="s1"/>
        </w:rPr>
        <w:t>[Add a paragraph about the lack of studies using knowledge graphs + retrieval-augmented generation (RAG) for computational analysis of deconstruction governance/policy, and why evidence-linked outputs matter for policy credibility.]</w:t>
      </w:r>
    </w:p>
    <w:p w14:paraId="2972ECBC" w14:textId="77777777" w:rsidR="00734923" w:rsidRPr="00734923" w:rsidRDefault="00734923" w:rsidP="00734923">
      <w:pPr>
        <w:pStyle w:val="p2"/>
      </w:pPr>
    </w:p>
    <w:p w14:paraId="08FD0949" w14:textId="00F23E46" w:rsidR="00734923" w:rsidRPr="00734923" w:rsidRDefault="00734923" w:rsidP="00ED6AFC">
      <w:pPr>
        <w:pStyle w:val="p1"/>
      </w:pPr>
      <w:r w:rsidRPr="00734923">
        <w:t xml:space="preserve">To address these challenges, this study develops and validates a </w:t>
      </w:r>
      <w:r w:rsidRPr="00734923">
        <w:rPr>
          <w:rStyle w:val="s1"/>
        </w:rPr>
        <w:t>computational governance intelligence platform</w:t>
      </w:r>
      <w:r w:rsidRPr="00734923">
        <w:t xml:space="preserve"> that transforms an unstructured corpus of Australian policy documents into a structured, evidence-linked “Governance Topography” that can be queried to reveal legislative disconnects, jurisdictional fragmentation, and governance gaps that inhibit circular-economy outcomes in the built environment.</w:t>
      </w:r>
      <w:r w:rsidRPr="00734923">
        <w:rPr>
          <w:rStyle w:val="apple-converted-space"/>
        </w:rPr>
        <w:t> </w:t>
      </w:r>
      <w:r w:rsidRPr="00734923">
        <w:t>Specifically, the platform implements a reproducible multi-stage pipeline to (1) process heterogeneous government PDF documents into machine-actionable text, (2) retrieve and precision-filter deconstruction- and salvage-relevant clauses from broader waste narratives, and (3) populate an objective-aligned knowledge graph that encodes who governs what, where, and how—while preserving traceability from each extracted statement to its original source location and verbatim evidence. It then supports graph traversal and query-driven synthesis to compare jurisdictions, test governance pathway completeness (e.g., Authority → Instrument → Requirement → Practice → Outcome), and identify gaps where barriers exist without corresponding enabling instruments.</w:t>
      </w:r>
      <w:r w:rsidRPr="00734923">
        <w:rPr>
          <w:rStyle w:val="apple-converted-space"/>
        </w:rPr>
        <w:t xml:space="preserve">  </w:t>
      </w:r>
    </w:p>
    <w:p w14:paraId="3599206F" w14:textId="3A72C270" w:rsidR="00734923" w:rsidRPr="00734923" w:rsidRDefault="00734923" w:rsidP="00ED6AFC">
      <w:pPr>
        <w:pStyle w:val="p1"/>
      </w:pPr>
      <w:r w:rsidRPr="00734923">
        <w:t>Accordingly, the study pursues five objectives: designing and validating the end-to-end computational pipeline for regulatory corpus processing; developing and populating a compact knowledge-graph schema aligned to deconstruction governance; analysing semantic and definitional gaps in how “deconstruction” and “salvage” are recognised; mapping the institutional governance network and jurisdictional fragmentation across the three tiers of government; and performing automated gap analysis to classify governance deficits by severity (including practices with no institutional support).</w:t>
      </w:r>
      <w:r w:rsidRPr="00734923">
        <w:rPr>
          <w:rStyle w:val="apple-converted-space"/>
        </w:rPr>
        <w:t> </w:t>
      </w:r>
      <w:r w:rsidRPr="00734923">
        <w:t xml:space="preserve">This research contributes in three ways. First, it provides a computational regulatory analysis of deconstruction governance in Australia that moves beyond broad waste narratives to diagnose specific legislative and institutional gaps. Second, it demonstrates a transferable, evidence-provenance methodology for converting unstructured policy corpora into structured, </w:t>
      </w:r>
      <w:proofErr w:type="spellStart"/>
      <w:r w:rsidRPr="00734923">
        <w:t>queryable</w:t>
      </w:r>
      <w:proofErr w:type="spellEnd"/>
      <w:r w:rsidRPr="00734923">
        <w:t xml:space="preserve"> knowledge graphs using LLM-driven extraction. Third, it delivers an operational governance intelligence backend—combining graph queries with retrieval-augmented generation—to produce grounded, source-cited answers to policy questions that require auditability and cross-jurisdiction comparison.</w:t>
      </w:r>
    </w:p>
    <w:p w14:paraId="41A7CBC1" w14:textId="77777777" w:rsidR="008230C7" w:rsidRDefault="00000000">
      <w:r>
        <w:br w:type="page"/>
      </w:r>
    </w:p>
    <w:p w14:paraId="41A235AE" w14:textId="77777777" w:rsidR="00844E29" w:rsidRDefault="00844E29" w:rsidP="00844E29">
      <w:pPr>
        <w:pStyle w:val="Heading1"/>
        <w:spacing w:before="400" w:after="120"/>
        <w:rPr>
          <w:color w:val="000000"/>
        </w:rPr>
      </w:pPr>
      <w:r>
        <w:rPr>
          <w:rFonts w:ascii="Arial" w:hAnsi="Arial" w:cs="Arial"/>
          <w:b w:val="0"/>
          <w:bCs w:val="0"/>
          <w:color w:val="000000"/>
          <w:sz w:val="40"/>
          <w:szCs w:val="40"/>
        </w:rPr>
        <w:lastRenderedPageBreak/>
        <w:t>3. Research Methods and Design</w:t>
      </w:r>
    </w:p>
    <w:p w14:paraId="30A15378" w14:textId="77777777" w:rsidR="00CD5E09" w:rsidRDefault="00CD5E09" w:rsidP="00CD5E09">
      <w:pPr>
        <w:pStyle w:val="Heading2"/>
        <w:rPr>
          <w:color w:val="000000"/>
        </w:rPr>
      </w:pPr>
      <w:r>
        <w:rPr>
          <w:color w:val="000000"/>
        </w:rPr>
        <w:t>3. Research Methods and Design</w:t>
      </w:r>
    </w:p>
    <w:p w14:paraId="380BF59D" w14:textId="00C09849" w:rsidR="00CD5E09" w:rsidRDefault="00CD5E09" w:rsidP="00CD5E09">
      <w:pPr>
        <w:pStyle w:val="NormalWeb"/>
        <w:rPr>
          <w:color w:val="000000"/>
        </w:rPr>
      </w:pPr>
      <w:r>
        <w:rPr>
          <w:color w:val="000000"/>
        </w:rPr>
        <w:t xml:space="preserve">This study developed and validated a computational governance intelligence pipeline to map and interrogate Australian deconstruction and material-salvage governance across federal, state, and local levels. The end-to-end workflow (see </w:t>
      </w:r>
      <w:r>
        <w:rPr>
          <w:color w:val="000000"/>
        </w:rPr>
        <w:fldChar w:fldCharType="begin"/>
      </w:r>
      <w:r>
        <w:rPr>
          <w:color w:val="000000"/>
        </w:rPr>
        <w:instrText xml:space="preserve"> REF _Ref222129808 \h </w:instrText>
      </w:r>
      <w:r>
        <w:rPr>
          <w:color w:val="000000"/>
        </w:rPr>
      </w:r>
      <w:r>
        <w:rPr>
          <w:color w:val="000000"/>
        </w:rPr>
        <w:fldChar w:fldCharType="separate"/>
      </w:r>
      <w:r>
        <w:t xml:space="preserve">Figure </w:t>
      </w:r>
      <w:r>
        <w:rPr>
          <w:noProof/>
        </w:rPr>
        <w:t>1</w:t>
      </w:r>
      <w:r>
        <w:rPr>
          <w:color w:val="000000"/>
        </w:rPr>
        <w:fldChar w:fldCharType="end"/>
      </w:r>
      <w:r>
        <w:rPr>
          <w:color w:val="000000"/>
        </w:rPr>
        <w:t>) combines automated document acquisition, multi-engine text extraction, semantic retrieval, LLM-based precision filtering, knowledge-graph construction with evidence provenance, and a query layer that supports auditable, source-grounded answers.</w:t>
      </w:r>
    </w:p>
    <w:p w14:paraId="566DEA2E" w14:textId="3BF8E5C8" w:rsidR="00CD5E09" w:rsidRDefault="00CD5E09" w:rsidP="00CD5E09">
      <w:pPr>
        <w:pStyle w:val="NormalWeb"/>
        <w:rPr>
          <w:color w:val="000000"/>
        </w:rPr>
      </w:pPr>
      <w:r>
        <w:rPr>
          <w:noProof/>
          <w:color w:val="000000"/>
        </w:rPr>
        <w:drawing>
          <wp:inline distT="0" distB="0" distL="0" distR="0" wp14:anchorId="56940D3C" wp14:editId="1B3C5656">
            <wp:extent cx="5731510" cy="2448560"/>
            <wp:effectExtent l="0" t="0" r="0" b="2540"/>
            <wp:docPr id="45149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9680" name="Picture 1" descr="A diagram of a diagram&#10;&#10;AI-generated content may be incorrect."/>
                    <pic:cNvPicPr/>
                  </pic:nvPicPr>
                  <pic:blipFill>
                    <a:blip r:embed="rId8"/>
                    <a:stretch>
                      <a:fillRect/>
                    </a:stretch>
                  </pic:blipFill>
                  <pic:spPr>
                    <a:xfrm>
                      <a:off x="0" y="0"/>
                      <a:ext cx="5731510" cy="2448560"/>
                    </a:xfrm>
                    <a:prstGeom prst="rect">
                      <a:avLst/>
                    </a:prstGeom>
                  </pic:spPr>
                </pic:pic>
              </a:graphicData>
            </a:graphic>
          </wp:inline>
        </w:drawing>
      </w:r>
    </w:p>
    <w:p w14:paraId="4A9A68C1" w14:textId="65531ACE" w:rsidR="00CD5E09" w:rsidRDefault="00CD5E09" w:rsidP="00CD5E09">
      <w:pPr>
        <w:pStyle w:val="Caption"/>
        <w:rPr>
          <w:color w:val="000000"/>
        </w:rPr>
      </w:pPr>
      <w:bookmarkStart w:id="0" w:name="_Ref222129808"/>
      <w:r>
        <w:t xml:space="preserve">Figure </w:t>
      </w:r>
      <w:fldSimple w:instr=" SEQ Figure \* ARABIC ">
        <w:r w:rsidR="00A63DEC">
          <w:rPr>
            <w:noProof/>
          </w:rPr>
          <w:t>1</w:t>
        </w:r>
      </w:fldSimple>
      <w:bookmarkEnd w:id="0"/>
      <w:r>
        <w:t xml:space="preserve">. </w:t>
      </w:r>
      <w:r w:rsidRPr="00CD5E09">
        <w:t>Pipeline overview</w:t>
      </w:r>
    </w:p>
    <w:p w14:paraId="3DDA6BC4" w14:textId="77777777" w:rsidR="00CD5E09" w:rsidRDefault="00CD5E09" w:rsidP="00CD5E09">
      <w:pPr>
        <w:pStyle w:val="Heading3"/>
        <w:rPr>
          <w:color w:val="000000"/>
        </w:rPr>
      </w:pPr>
      <w:r>
        <w:rPr>
          <w:color w:val="000000"/>
        </w:rPr>
        <w:t>3.1 Corpus assembly and eligibility screening</w:t>
      </w:r>
    </w:p>
    <w:p w14:paraId="7F650EF9" w14:textId="77777777" w:rsidR="00CD5E09" w:rsidRDefault="00CD5E09" w:rsidP="00CD5E09">
      <w:pPr>
        <w:pStyle w:val="NormalWeb"/>
        <w:rPr>
          <w:color w:val="000000"/>
        </w:rPr>
      </w:pPr>
      <w:r>
        <w:rPr>
          <w:color w:val="000000"/>
        </w:rPr>
        <w:t>To balance breadth of coverage with analytical specificity, the corpus was assembled through three complementary streams: (</w:t>
      </w:r>
      <w:proofErr w:type="spellStart"/>
      <w:r>
        <w:rPr>
          <w:color w:val="000000"/>
        </w:rPr>
        <w:t>i</w:t>
      </w:r>
      <w:proofErr w:type="spellEnd"/>
      <w:r>
        <w:rPr>
          <w:color w:val="000000"/>
        </w:rPr>
        <w:t>) academic literature, (ii) industry guidance, and (iii) government regulatory instruments.</w:t>
      </w:r>
    </w:p>
    <w:p w14:paraId="62FC5F51" w14:textId="77777777" w:rsidR="00CD5E09" w:rsidRDefault="00CD5E09" w:rsidP="00CD5E09">
      <w:pPr>
        <w:pStyle w:val="NormalWeb"/>
        <w:rPr>
          <w:color w:val="000000"/>
        </w:rPr>
      </w:pPr>
      <w:r>
        <w:rPr>
          <w:rStyle w:val="Strong"/>
          <w:color w:val="000000"/>
        </w:rPr>
        <w:t>Academic literature (contextual stream).</w:t>
      </w:r>
      <w:r>
        <w:rPr>
          <w:rStyle w:val="apple-converted-space"/>
          <w:color w:val="000000"/>
        </w:rPr>
        <w:t> </w:t>
      </w:r>
      <w:r>
        <w:rPr>
          <w:color w:val="000000"/>
        </w:rPr>
        <w:t xml:space="preserve">Peer-reviewed studies were retrieved via Scopus API using an LLM-assisted query expansion step to generate high-recall keyword bundles (subject, context, and Australia/jurisdiction terms). Results were deduplicated and then filtered deterministically using an explicit inclusion rubric to retain only studies materially focused on Australian deconstruction and/or material reuse. Academic outputs were retained as bibliographic metadata (e.g., DOI, title, authors) to contextualise and triangulate </w:t>
      </w:r>
      <w:proofErr w:type="gramStart"/>
      <w:r>
        <w:rPr>
          <w:color w:val="000000"/>
        </w:rPr>
        <w:t>discussion, but</w:t>
      </w:r>
      <w:proofErr w:type="gramEnd"/>
      <w:r>
        <w:rPr>
          <w:color w:val="000000"/>
        </w:rPr>
        <w:t xml:space="preserve"> were</w:t>
      </w:r>
      <w:r>
        <w:rPr>
          <w:rStyle w:val="apple-converted-space"/>
          <w:color w:val="000000"/>
        </w:rPr>
        <w:t> </w:t>
      </w:r>
      <w:r>
        <w:rPr>
          <w:rStyle w:val="Strong"/>
          <w:color w:val="000000"/>
        </w:rPr>
        <w:t>not</w:t>
      </w:r>
      <w:r>
        <w:rPr>
          <w:rStyle w:val="apple-converted-space"/>
          <w:color w:val="000000"/>
        </w:rPr>
        <w:t> </w:t>
      </w:r>
      <w:r>
        <w:rPr>
          <w:color w:val="000000"/>
        </w:rPr>
        <w:t>processed into the knowledge graph.</w:t>
      </w:r>
    </w:p>
    <w:p w14:paraId="06E17FD2" w14:textId="77777777" w:rsidR="00CD5E09" w:rsidRDefault="00CD5E09" w:rsidP="00CD5E09">
      <w:pPr>
        <w:pStyle w:val="NormalWeb"/>
        <w:rPr>
          <w:color w:val="000000"/>
        </w:rPr>
      </w:pPr>
      <w:r>
        <w:rPr>
          <w:rStyle w:val="Strong"/>
          <w:color w:val="000000"/>
        </w:rPr>
        <w:t>Non-academic documents (computational stream).</w:t>
      </w:r>
      <w:r>
        <w:rPr>
          <w:rStyle w:val="apple-converted-space"/>
          <w:color w:val="000000"/>
        </w:rPr>
        <w:t> </w:t>
      </w:r>
      <w:r>
        <w:rPr>
          <w:color w:val="000000"/>
        </w:rPr>
        <w:t xml:space="preserve">Industry guidance and regulatory instruments were retrieved through structured Google Custom Search workflows. The industry pipeline combined (a) LLM-assisted source discovery (to reduce researcher selection bias), (b) organisation- and domain-targeted searches, and (c) a credibility screen that integrated source reputation, recency, and topical relevance. The regulatory pipeline was stratified by Australian jurisdiction (Commonwealth, states/territories) and targeted authoritative portals and regulators (e.g., legislation sites, EPAs, planning/building regulators, WHS bodies). Retrieved documents were then scored using a regulatory-specific credibility </w:t>
      </w:r>
      <w:r>
        <w:rPr>
          <w:color w:val="000000"/>
        </w:rPr>
        <w:lastRenderedPageBreak/>
        <w:t>rubric (authority tier, government tier, recency, and topical precision). Only documents exceeding the credibility threshold were retained and downloaded.</w:t>
      </w:r>
    </w:p>
    <w:p w14:paraId="13F14327" w14:textId="77777777" w:rsidR="00CD5E09" w:rsidRDefault="00CD5E09" w:rsidP="00CD5E09">
      <w:pPr>
        <w:pStyle w:val="NormalWeb"/>
        <w:rPr>
          <w:color w:val="000000"/>
        </w:rPr>
      </w:pPr>
      <w:r>
        <w:rPr>
          <w:rStyle w:val="Strong"/>
          <w:color w:val="000000"/>
        </w:rPr>
        <w:t>Corpus definition used in this paper.</w:t>
      </w:r>
      <w:r>
        <w:rPr>
          <w:rStyle w:val="apple-converted-space"/>
          <w:color w:val="000000"/>
        </w:rPr>
        <w:t> </w:t>
      </w:r>
      <w:r>
        <w:rPr>
          <w:color w:val="000000"/>
        </w:rPr>
        <w:t>The combined non-academic search yielded a</w:t>
      </w:r>
      <w:r>
        <w:rPr>
          <w:rStyle w:val="apple-converted-space"/>
          <w:color w:val="000000"/>
        </w:rPr>
        <w:t> </w:t>
      </w:r>
      <w:r>
        <w:rPr>
          <w:rStyle w:val="Strong"/>
          <w:color w:val="000000"/>
        </w:rPr>
        <w:t>retrieved corpus of 95 PDF documents</w:t>
      </w:r>
      <w:r>
        <w:rPr>
          <w:rStyle w:val="apple-converted-space"/>
          <w:color w:val="000000"/>
        </w:rPr>
        <w:t> </w:t>
      </w:r>
      <w:r>
        <w:rPr>
          <w:color w:val="000000"/>
        </w:rPr>
        <w:t>(industry + regulatory). All 95 documents were subjected to full-text extraction and computational screening. However, the</w:t>
      </w:r>
      <w:r>
        <w:rPr>
          <w:rStyle w:val="apple-converted-space"/>
          <w:color w:val="000000"/>
        </w:rPr>
        <w:t> </w:t>
      </w:r>
      <w:r>
        <w:rPr>
          <w:rStyle w:val="Strong"/>
          <w:color w:val="000000"/>
        </w:rPr>
        <w:t>analysis corpus</w:t>
      </w:r>
      <w:r>
        <w:rPr>
          <w:rStyle w:val="apple-converted-space"/>
          <w:color w:val="000000"/>
        </w:rPr>
        <w:t> </w:t>
      </w:r>
      <w:r>
        <w:rPr>
          <w:color w:val="000000"/>
        </w:rPr>
        <w:t>for knowledge-graph construction was defined</w:t>
      </w:r>
      <w:r>
        <w:rPr>
          <w:rStyle w:val="apple-converted-space"/>
          <w:color w:val="000000"/>
        </w:rPr>
        <w:t> </w:t>
      </w:r>
      <w:r>
        <w:rPr>
          <w:rStyle w:val="Emphasis"/>
          <w:color w:val="000000"/>
        </w:rPr>
        <w:t>after</w:t>
      </w:r>
      <w:r>
        <w:rPr>
          <w:rStyle w:val="apple-converted-space"/>
          <w:color w:val="000000"/>
        </w:rPr>
        <w:t> </w:t>
      </w:r>
      <w:r>
        <w:rPr>
          <w:color w:val="000000"/>
        </w:rPr>
        <w:t>precision filtering:</w:t>
      </w:r>
      <w:r>
        <w:rPr>
          <w:rStyle w:val="apple-converted-space"/>
          <w:color w:val="000000"/>
        </w:rPr>
        <w:t> </w:t>
      </w:r>
      <w:r>
        <w:rPr>
          <w:rStyle w:val="Strong"/>
          <w:color w:val="000000"/>
        </w:rPr>
        <w:t>36 of the 95 documents</w:t>
      </w:r>
      <w:r>
        <w:rPr>
          <w:rStyle w:val="apple-converted-space"/>
          <w:color w:val="000000"/>
        </w:rPr>
        <w:t> </w:t>
      </w:r>
      <w:r>
        <w:rPr>
          <w:color w:val="000000"/>
        </w:rPr>
        <w:t>contained passages directly relevant to structural disassembly, salvage, and/or regulatory barriers/enablers for reuse, and therefore contributed evidence to the graph. The remaining</w:t>
      </w:r>
      <w:r>
        <w:rPr>
          <w:rStyle w:val="apple-converted-space"/>
          <w:color w:val="000000"/>
        </w:rPr>
        <w:t> </w:t>
      </w:r>
      <w:r>
        <w:rPr>
          <w:rStyle w:val="Strong"/>
          <w:color w:val="000000"/>
        </w:rPr>
        <w:t>59 documents</w:t>
      </w:r>
      <w:r>
        <w:rPr>
          <w:rStyle w:val="apple-converted-space"/>
          <w:color w:val="000000"/>
        </w:rPr>
        <w:t> </w:t>
      </w:r>
      <w:r>
        <w:rPr>
          <w:color w:val="000000"/>
        </w:rPr>
        <w:t>were excluded from graph construction because they primarily addressed generic waste management or demolition narratives without substantive deconstruction-specific content. The final analysis corpus comprised</w:t>
      </w:r>
      <w:r>
        <w:rPr>
          <w:rStyle w:val="apple-converted-space"/>
          <w:color w:val="000000"/>
        </w:rPr>
        <w:t> </w:t>
      </w:r>
      <w:r>
        <w:rPr>
          <w:rStyle w:val="Strong"/>
          <w:color w:val="000000"/>
        </w:rPr>
        <w:t>364 high-relevance text chunks</w:t>
      </w:r>
      <w:r>
        <w:rPr>
          <w:rStyle w:val="apple-converted-space"/>
          <w:color w:val="000000"/>
        </w:rPr>
        <w:t> </w:t>
      </w:r>
      <w:r>
        <w:rPr>
          <w:color w:val="000000"/>
        </w:rPr>
        <w:t>drawn from these 36 documents.</w:t>
      </w:r>
    </w:p>
    <w:p w14:paraId="29A9FAEC" w14:textId="77777777" w:rsidR="00CD5E09" w:rsidRDefault="00CD5E09" w:rsidP="00CD5E09">
      <w:pPr>
        <w:pStyle w:val="Heading3"/>
        <w:rPr>
          <w:color w:val="000000"/>
        </w:rPr>
      </w:pPr>
      <w:r>
        <w:rPr>
          <w:color w:val="000000"/>
        </w:rPr>
        <w:t>3.2 Text extraction, segmentation, and candidate passage selection</w:t>
      </w:r>
    </w:p>
    <w:p w14:paraId="790BFBB5" w14:textId="77777777" w:rsidR="00CD5E09" w:rsidRDefault="00CD5E09" w:rsidP="00CD5E09">
      <w:pPr>
        <w:pStyle w:val="NormalWeb"/>
        <w:rPr>
          <w:color w:val="000000"/>
        </w:rPr>
      </w:pPr>
      <w:r>
        <w:rPr>
          <w:color w:val="000000"/>
        </w:rPr>
        <w:t>Because the retrieved corpus included both digitally native and scanned PDFs, text extraction used a cascading, multi-engine strategy designed to maximise recall while preserving legal and tabular structure. Documents were first parsed using a layout-aware extractor to preserve structured elements (e.g., levy schedules, targets). Where extraction quality was insufficient, a robust parser was applied to resolve encoding and embedded-font issues. For scanned pages, OCR was invoked to reconstruct the text layer.</w:t>
      </w:r>
    </w:p>
    <w:p w14:paraId="5BC45600" w14:textId="77777777" w:rsidR="00CD5E09" w:rsidRDefault="00CD5E09" w:rsidP="00CD5E09">
      <w:pPr>
        <w:pStyle w:val="NormalWeb"/>
        <w:rPr>
          <w:color w:val="000000"/>
        </w:rPr>
      </w:pPr>
      <w:r>
        <w:rPr>
          <w:color w:val="000000"/>
        </w:rPr>
        <w:t>Extracted text was segmented into overlapping semantic chunks to maintain the integrity of definitions and qualifying clauses. A relatively large chunk window was used to avoid splitting legal provisions across segments. To reduce false positives and computational load, a</w:t>
      </w:r>
      <w:r>
        <w:rPr>
          <w:rStyle w:val="apple-converted-space"/>
          <w:color w:val="000000"/>
        </w:rPr>
        <w:t> </w:t>
      </w:r>
      <w:r>
        <w:rPr>
          <w:rStyle w:val="Strong"/>
          <w:color w:val="000000"/>
        </w:rPr>
        <w:t>keyword gate</w:t>
      </w:r>
      <w:r>
        <w:rPr>
          <w:rStyle w:val="apple-converted-space"/>
          <w:color w:val="000000"/>
        </w:rPr>
        <w:t> </w:t>
      </w:r>
      <w:r>
        <w:rPr>
          <w:color w:val="000000"/>
        </w:rPr>
        <w:t xml:space="preserve">was then applied: only chunks containing high-recall deconstruction/salvage patterns (e.g., deconstruct*, </w:t>
      </w:r>
      <w:proofErr w:type="spellStart"/>
      <w:r>
        <w:rPr>
          <w:color w:val="000000"/>
        </w:rPr>
        <w:t>salvag</w:t>
      </w:r>
      <w:proofErr w:type="spellEnd"/>
      <w:r>
        <w:rPr>
          <w:color w:val="000000"/>
        </w:rPr>
        <w:t>*, selective demolition, circular economy) were retained for downstream semantic retrieval.</w:t>
      </w:r>
    </w:p>
    <w:p w14:paraId="16241299" w14:textId="77777777" w:rsidR="00CD5E09" w:rsidRDefault="00CD5E09" w:rsidP="00CD5E09">
      <w:pPr>
        <w:pStyle w:val="Heading3"/>
        <w:rPr>
          <w:color w:val="000000"/>
        </w:rPr>
      </w:pPr>
      <w:r>
        <w:rPr>
          <w:color w:val="000000"/>
        </w:rPr>
        <w:t>3.3 Semantic retrieval and LLM-based precision filtering</w:t>
      </w:r>
    </w:p>
    <w:p w14:paraId="00EA2DD6" w14:textId="77777777" w:rsidR="00CD5E09" w:rsidRDefault="00CD5E09" w:rsidP="00CD5E09">
      <w:pPr>
        <w:pStyle w:val="NormalWeb"/>
        <w:rPr>
          <w:color w:val="000000"/>
        </w:rPr>
      </w:pPr>
      <w:r>
        <w:rPr>
          <w:color w:val="000000"/>
        </w:rPr>
        <w:t>Candidate chunks passing the keyword gate were embedded into a high-dimensional semantic space to enable robust matching across heterogeneous regulatory language. Semantic retrieval was implemented using a vector index with L2-distance scoring against topic-focused query vectors. A strict similarity threshold—set through pilot diagnostics—was then applied to suppress high-volume “waste diversion” noise while retaining deconstruction-specific provisions and practice-relevant clauses.</w:t>
      </w:r>
    </w:p>
    <w:p w14:paraId="32ED0B56" w14:textId="77777777" w:rsidR="00CD5E09" w:rsidRDefault="00CD5E09" w:rsidP="00CD5E09">
      <w:pPr>
        <w:pStyle w:val="NormalWeb"/>
        <w:rPr>
          <w:color w:val="000000"/>
        </w:rPr>
      </w:pPr>
      <w:r>
        <w:rPr>
          <w:color w:val="000000"/>
        </w:rPr>
        <w:t>To eliminate residual ambiguity (e.g., generic recycling logistics vs. structural disassembly), a deterministic</w:t>
      </w:r>
      <w:r>
        <w:rPr>
          <w:rStyle w:val="apple-converted-space"/>
          <w:color w:val="000000"/>
        </w:rPr>
        <w:t> </w:t>
      </w:r>
      <w:r>
        <w:rPr>
          <w:rStyle w:val="Strong"/>
          <w:color w:val="000000"/>
        </w:rPr>
        <w:t>LLM judge</w:t>
      </w:r>
      <w:r>
        <w:rPr>
          <w:rStyle w:val="apple-converted-space"/>
          <w:color w:val="000000"/>
        </w:rPr>
        <w:t> </w:t>
      </w:r>
      <w:r>
        <w:rPr>
          <w:color w:val="000000"/>
        </w:rPr>
        <w:t>was applied as a final precision layer. Each high-scoring chunk was classified at temperature 0 into one of three categories:</w:t>
      </w:r>
    </w:p>
    <w:p w14:paraId="4AD8BC9B" w14:textId="77777777" w:rsidR="00CD5E09" w:rsidRDefault="00CD5E09" w:rsidP="00CD5E09">
      <w:pPr>
        <w:pStyle w:val="NormalWeb"/>
        <w:numPr>
          <w:ilvl w:val="0"/>
          <w:numId w:val="2"/>
        </w:numPr>
        <w:rPr>
          <w:color w:val="000000"/>
        </w:rPr>
      </w:pPr>
      <w:r>
        <w:rPr>
          <w:rStyle w:val="Strong"/>
          <w:color w:val="000000"/>
        </w:rPr>
        <w:t>Keep:</w:t>
      </w:r>
      <w:r>
        <w:rPr>
          <w:rStyle w:val="apple-converted-space"/>
          <w:color w:val="000000"/>
        </w:rPr>
        <w:t> </w:t>
      </w:r>
      <w:r>
        <w:rPr>
          <w:color w:val="000000"/>
        </w:rPr>
        <w:t>directly addresses disassembly/deconstruction, salvage/soft strip, or explicit governance barriers/enablers for reuse</w:t>
      </w:r>
    </w:p>
    <w:p w14:paraId="77C86DE5" w14:textId="77777777" w:rsidR="00CD5E09" w:rsidRDefault="00CD5E09" w:rsidP="00CD5E09">
      <w:pPr>
        <w:pStyle w:val="NormalWeb"/>
        <w:numPr>
          <w:ilvl w:val="0"/>
          <w:numId w:val="2"/>
        </w:numPr>
        <w:rPr>
          <w:color w:val="000000"/>
        </w:rPr>
      </w:pPr>
      <w:r>
        <w:rPr>
          <w:rStyle w:val="Strong"/>
          <w:color w:val="000000"/>
        </w:rPr>
        <w:t>Maybe:</w:t>
      </w:r>
      <w:r>
        <w:rPr>
          <w:rStyle w:val="apple-converted-space"/>
          <w:color w:val="000000"/>
        </w:rPr>
        <w:t> </w:t>
      </w:r>
      <w:r>
        <w:rPr>
          <w:color w:val="000000"/>
        </w:rPr>
        <w:t>contextually relevant (institutional framing, enabling conditions) but requires cautious interpretation</w:t>
      </w:r>
    </w:p>
    <w:p w14:paraId="5F2CDBC8" w14:textId="77777777" w:rsidR="00CD5E09" w:rsidRDefault="00CD5E09" w:rsidP="00CD5E09">
      <w:pPr>
        <w:pStyle w:val="NormalWeb"/>
        <w:numPr>
          <w:ilvl w:val="0"/>
          <w:numId w:val="2"/>
        </w:numPr>
        <w:rPr>
          <w:color w:val="000000"/>
        </w:rPr>
      </w:pPr>
      <w:r>
        <w:rPr>
          <w:rStyle w:val="Strong"/>
          <w:color w:val="000000"/>
        </w:rPr>
        <w:t>Drop:</w:t>
      </w:r>
      <w:r>
        <w:rPr>
          <w:rStyle w:val="apple-converted-space"/>
          <w:color w:val="000000"/>
        </w:rPr>
        <w:t> </w:t>
      </w:r>
      <w:r>
        <w:rPr>
          <w:color w:val="000000"/>
        </w:rPr>
        <w:t>irrelevant to deconstruction governance (e.g., kerbside recycling, generic diversion reporting)</w:t>
      </w:r>
    </w:p>
    <w:p w14:paraId="56F86F95" w14:textId="77777777" w:rsidR="00CD5E09" w:rsidRDefault="00CD5E09" w:rsidP="00CD5E09">
      <w:pPr>
        <w:pStyle w:val="NormalWeb"/>
        <w:rPr>
          <w:color w:val="000000"/>
        </w:rPr>
      </w:pPr>
      <w:r>
        <w:rPr>
          <w:color w:val="000000"/>
        </w:rPr>
        <w:lastRenderedPageBreak/>
        <w:t>Chunks labelled</w:t>
      </w:r>
      <w:r>
        <w:rPr>
          <w:rStyle w:val="apple-converted-space"/>
          <w:color w:val="000000"/>
        </w:rPr>
        <w:t> </w:t>
      </w:r>
      <w:r>
        <w:rPr>
          <w:rStyle w:val="Strong"/>
          <w:color w:val="000000"/>
        </w:rPr>
        <w:t>Keep</w:t>
      </w:r>
      <w:r>
        <w:rPr>
          <w:rStyle w:val="apple-converted-space"/>
          <w:color w:val="000000"/>
        </w:rPr>
        <w:t> </w:t>
      </w:r>
      <w:r>
        <w:rPr>
          <w:color w:val="000000"/>
        </w:rPr>
        <w:t>and</w:t>
      </w:r>
      <w:r>
        <w:rPr>
          <w:rStyle w:val="apple-converted-space"/>
          <w:color w:val="000000"/>
        </w:rPr>
        <w:t> </w:t>
      </w:r>
      <w:r>
        <w:rPr>
          <w:rStyle w:val="Strong"/>
          <w:color w:val="000000"/>
        </w:rPr>
        <w:t>Maybe</w:t>
      </w:r>
      <w:r>
        <w:rPr>
          <w:rStyle w:val="apple-converted-space"/>
          <w:color w:val="000000"/>
        </w:rPr>
        <w:t> </w:t>
      </w:r>
      <w:r>
        <w:rPr>
          <w:color w:val="000000"/>
        </w:rPr>
        <w:t>were retained to preserve both evidence-grade clauses and enabling context. This screening step also resolves the apparent “95 vs 36” discrepancy:</w:t>
      </w:r>
      <w:r>
        <w:rPr>
          <w:rStyle w:val="apple-converted-space"/>
          <w:color w:val="000000"/>
        </w:rPr>
        <w:t> </w:t>
      </w:r>
      <w:r>
        <w:rPr>
          <w:rStyle w:val="Strong"/>
          <w:color w:val="000000"/>
        </w:rPr>
        <w:t>95 documents were processed</w:t>
      </w:r>
      <w:r>
        <w:rPr>
          <w:color w:val="000000"/>
        </w:rPr>
        <w:t>, but only</w:t>
      </w:r>
      <w:r>
        <w:rPr>
          <w:rStyle w:val="apple-converted-space"/>
          <w:color w:val="000000"/>
        </w:rPr>
        <w:t> </w:t>
      </w:r>
      <w:r>
        <w:rPr>
          <w:rStyle w:val="Strong"/>
          <w:color w:val="000000"/>
        </w:rPr>
        <w:t>36 contained retained evidence</w:t>
      </w:r>
      <w:r>
        <w:rPr>
          <w:rStyle w:val="apple-converted-space"/>
          <w:color w:val="000000"/>
        </w:rPr>
        <w:t> </w:t>
      </w:r>
      <w:r>
        <w:rPr>
          <w:color w:val="000000"/>
        </w:rPr>
        <w:t>(Keep/Maybe) and therefore contributed to the knowledge graph. For robustness checks, the judge label was propagated as a statement confidence weight (Keep = 1.0; Maybe = 0.6), enabling sensitivity comparisons between a “core” evidence graph (Keep only) and an expanded interpretive graph (Keep + Maybe).</w:t>
      </w:r>
    </w:p>
    <w:p w14:paraId="13DD7E80" w14:textId="77777777" w:rsidR="00CD5E09" w:rsidRDefault="00CD5E09" w:rsidP="00CD5E09">
      <w:pPr>
        <w:pStyle w:val="Heading3"/>
        <w:rPr>
          <w:color w:val="000000"/>
        </w:rPr>
      </w:pPr>
      <w:r>
        <w:rPr>
          <w:color w:val="000000"/>
        </w:rPr>
        <w:t>3.4 Knowledge-graph schema and evidence-linked extraction</w:t>
      </w:r>
    </w:p>
    <w:p w14:paraId="50EA4133" w14:textId="33C5BCD5" w:rsidR="00CD5E09" w:rsidRDefault="00CD5E09" w:rsidP="00C57722">
      <w:pPr>
        <w:pStyle w:val="NormalWeb"/>
        <w:rPr>
          <w:color w:val="000000"/>
        </w:rPr>
      </w:pPr>
      <w:r>
        <w:rPr>
          <w:color w:val="000000"/>
        </w:rPr>
        <w:t>Knowledge-graph construction was guided by a compact, objective-aligned schema designed to represent governance mechanisms and practice pathways rather than a broad ontology. The schema comprises</w:t>
      </w:r>
      <w:r>
        <w:rPr>
          <w:rStyle w:val="apple-converted-space"/>
          <w:color w:val="000000"/>
        </w:rPr>
        <w:t> </w:t>
      </w:r>
      <w:r>
        <w:rPr>
          <w:rStyle w:val="Strong"/>
          <w:color w:val="000000"/>
        </w:rPr>
        <w:t>ten entity types</w:t>
      </w:r>
      <w:r>
        <w:rPr>
          <w:rStyle w:val="apple-converted-space"/>
          <w:color w:val="000000"/>
        </w:rPr>
        <w:t> </w:t>
      </w:r>
      <w:r>
        <w:rPr>
          <w:color w:val="000000"/>
        </w:rPr>
        <w:t xml:space="preserve">(Instrument, Authority, Jurisdiction, Requirement, Practice, </w:t>
      </w:r>
      <w:proofErr w:type="spellStart"/>
      <w:r>
        <w:rPr>
          <w:color w:val="000000"/>
        </w:rPr>
        <w:t>MaterialAsset</w:t>
      </w:r>
      <w:proofErr w:type="spellEnd"/>
      <w:r>
        <w:rPr>
          <w:color w:val="000000"/>
        </w:rPr>
        <w:t xml:space="preserve">, Stakeholder, Barrier, Enabler, </w:t>
      </w:r>
      <w:proofErr w:type="spellStart"/>
      <w:r>
        <w:rPr>
          <w:color w:val="000000"/>
        </w:rPr>
        <w:t>OutcomeMetric</w:t>
      </w:r>
      <w:proofErr w:type="spellEnd"/>
      <w:r>
        <w:rPr>
          <w:color w:val="000000"/>
        </w:rPr>
        <w:t>) and</w:t>
      </w:r>
      <w:r>
        <w:rPr>
          <w:rStyle w:val="apple-converted-space"/>
          <w:color w:val="000000"/>
        </w:rPr>
        <w:t> </w:t>
      </w:r>
      <w:r>
        <w:rPr>
          <w:rStyle w:val="Strong"/>
          <w:color w:val="000000"/>
        </w:rPr>
        <w:t>eleven relation types</w:t>
      </w:r>
      <w:r>
        <w:rPr>
          <w:rStyle w:val="apple-converted-space"/>
          <w:color w:val="000000"/>
        </w:rPr>
        <w:t> </w:t>
      </w:r>
      <w:r>
        <w:rPr>
          <w:color w:val="000000"/>
        </w:rPr>
        <w:t>that encode governance structure and causal mechanisms (ISSUED_BY, APPLIES_IN, APPLIES_TO, REFERENCES, REQUIRES, PROHIBITS, INVOLVES, ENABLES, BARRIERS, AFFECTS, PRODUCES). The schema is summarised in</w:t>
      </w:r>
      <w:r>
        <w:rPr>
          <w:rStyle w:val="apple-converted-space"/>
          <w:color w:val="000000"/>
        </w:rPr>
        <w:t xml:space="preserve"> </w:t>
      </w:r>
      <w:r>
        <w:rPr>
          <w:rStyle w:val="apple-converted-space"/>
          <w:color w:val="000000"/>
        </w:rPr>
        <w:fldChar w:fldCharType="begin"/>
      </w:r>
      <w:r>
        <w:rPr>
          <w:rStyle w:val="apple-converted-space"/>
          <w:color w:val="000000"/>
        </w:rPr>
        <w:instrText xml:space="preserve"> REF _Ref222129829 \h </w:instrText>
      </w:r>
      <w:r>
        <w:rPr>
          <w:rStyle w:val="apple-converted-space"/>
          <w:color w:val="000000"/>
        </w:rPr>
      </w:r>
      <w:r>
        <w:rPr>
          <w:rStyle w:val="apple-converted-space"/>
          <w:color w:val="000000"/>
        </w:rPr>
        <w:fldChar w:fldCharType="separate"/>
      </w:r>
      <w:r>
        <w:t xml:space="preserve">Figure </w:t>
      </w:r>
      <w:r>
        <w:rPr>
          <w:noProof/>
        </w:rPr>
        <w:t>2</w:t>
      </w:r>
      <w:r>
        <w:rPr>
          <w:rStyle w:val="apple-converted-space"/>
          <w:color w:val="000000"/>
        </w:rPr>
        <w:fldChar w:fldCharType="end"/>
      </w:r>
      <w:r>
        <w:rPr>
          <w:color w:val="000000"/>
        </w:rPr>
        <w:t>.</w:t>
      </w:r>
      <w:r w:rsidR="00C57722">
        <w:rPr>
          <w:color w:val="000000"/>
        </w:rPr>
        <w:t xml:space="preserve"> </w:t>
      </w:r>
      <w:r>
        <w:rPr>
          <w:color w:val="000000"/>
        </w:rPr>
        <w:t>Knowledge-graph extraction was performed</w:t>
      </w:r>
      <w:r>
        <w:rPr>
          <w:rStyle w:val="apple-converted-space"/>
          <w:color w:val="000000"/>
        </w:rPr>
        <w:t> </w:t>
      </w:r>
      <w:r>
        <w:rPr>
          <w:rStyle w:val="Strong"/>
          <w:color w:val="000000"/>
        </w:rPr>
        <w:t>at the chunk level</w:t>
      </w:r>
      <w:r>
        <w:rPr>
          <w:rStyle w:val="apple-converted-space"/>
          <w:color w:val="000000"/>
        </w:rPr>
        <w:t> </w:t>
      </w:r>
      <w:r>
        <w:rPr>
          <w:color w:val="000000"/>
        </w:rPr>
        <w:t>using a deterministic LLM configuration with enforced structured outputs. To reduce over-generation and maintain precision, extraction was constrained by (</w:t>
      </w:r>
      <w:proofErr w:type="spellStart"/>
      <w:r>
        <w:rPr>
          <w:color w:val="000000"/>
        </w:rPr>
        <w:t>i</w:t>
      </w:r>
      <w:proofErr w:type="spellEnd"/>
      <w:r>
        <w:rPr>
          <w:color w:val="000000"/>
        </w:rPr>
        <w:t>) strict type control (entities/relations must conform to the predefined schema) and (ii) per-chunk caps on extracted entities and relations. Every extracted entity and relation was required to carry a</w:t>
      </w:r>
      <w:r>
        <w:rPr>
          <w:rStyle w:val="apple-converted-space"/>
          <w:color w:val="000000"/>
        </w:rPr>
        <w:t> </w:t>
      </w:r>
      <w:r>
        <w:rPr>
          <w:rStyle w:val="Strong"/>
          <w:color w:val="000000"/>
        </w:rPr>
        <w:t>verbatim evidence excerpt</w:t>
      </w:r>
      <w:r>
        <w:rPr>
          <w:rStyle w:val="apple-converted-space"/>
          <w:color w:val="000000"/>
        </w:rPr>
        <w:t> </w:t>
      </w:r>
      <w:r>
        <w:rPr>
          <w:color w:val="000000"/>
        </w:rPr>
        <w:t>from the originating chunk, and each relation stored provenance metadata (source file, page number, chunk identifier/hash). Relations were retained only when both endpoints were explicitly extracted from the same chunk, reducing speculative linkage.</w:t>
      </w:r>
    </w:p>
    <w:p w14:paraId="034D7DEB" w14:textId="77777777" w:rsidR="00C57722" w:rsidRDefault="00C57722" w:rsidP="00C57722">
      <w:pPr>
        <w:pStyle w:val="NormalWeb"/>
        <w:rPr>
          <w:color w:val="000000"/>
        </w:rPr>
      </w:pPr>
    </w:p>
    <w:p w14:paraId="2A5A2786" w14:textId="77777777" w:rsidR="00C57722" w:rsidRDefault="00C57722" w:rsidP="00C57722">
      <w:pPr>
        <w:pStyle w:val="NormalWeb"/>
        <w:rPr>
          <w:color w:val="000000"/>
        </w:rPr>
      </w:pPr>
    </w:p>
    <w:p w14:paraId="3E1F219B" w14:textId="77777777" w:rsidR="00C57722" w:rsidRDefault="00C57722" w:rsidP="00C57722">
      <w:pPr>
        <w:pStyle w:val="NormalWeb"/>
        <w:rPr>
          <w:color w:val="000000"/>
        </w:rPr>
      </w:pPr>
    </w:p>
    <w:p w14:paraId="43059D1D" w14:textId="177BF48A" w:rsidR="00C57722" w:rsidRDefault="00C57722" w:rsidP="00C57722">
      <w:pPr>
        <w:pStyle w:val="NormalWeb"/>
        <w:rPr>
          <w:color w:val="000000"/>
        </w:rPr>
      </w:pPr>
      <w:r>
        <w:rPr>
          <w:noProof/>
          <w:color w:val="000000"/>
        </w:rPr>
        <w:lastRenderedPageBreak/>
        <w:drawing>
          <wp:inline distT="0" distB="0" distL="0" distR="0" wp14:anchorId="6766A0F2" wp14:editId="75F3727C">
            <wp:extent cx="6042991" cy="3926003"/>
            <wp:effectExtent l="0" t="0" r="2540" b="0"/>
            <wp:docPr id="2109695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5930" name="Picture 2109695930"/>
                    <pic:cNvPicPr/>
                  </pic:nvPicPr>
                  <pic:blipFill>
                    <a:blip r:embed="rId9"/>
                    <a:stretch>
                      <a:fillRect/>
                    </a:stretch>
                  </pic:blipFill>
                  <pic:spPr>
                    <a:xfrm>
                      <a:off x="0" y="0"/>
                      <a:ext cx="6056664" cy="3934886"/>
                    </a:xfrm>
                    <a:prstGeom prst="rect">
                      <a:avLst/>
                    </a:prstGeom>
                  </pic:spPr>
                </pic:pic>
              </a:graphicData>
            </a:graphic>
          </wp:inline>
        </w:drawing>
      </w:r>
    </w:p>
    <w:p w14:paraId="047B3D53" w14:textId="5F8342B6" w:rsidR="00C57722" w:rsidRDefault="00C57722" w:rsidP="00C57722">
      <w:pPr>
        <w:pStyle w:val="Caption"/>
        <w:rPr>
          <w:color w:val="000000"/>
        </w:rPr>
      </w:pPr>
      <w:bookmarkStart w:id="1" w:name="_Ref222129829"/>
      <w:r>
        <w:t xml:space="preserve">Figure </w:t>
      </w:r>
      <w:fldSimple w:instr=" SEQ Figure \* ARABIC ">
        <w:r w:rsidR="00A63DEC">
          <w:rPr>
            <w:noProof/>
          </w:rPr>
          <w:t>2</w:t>
        </w:r>
      </w:fldSimple>
      <w:bookmarkEnd w:id="1"/>
      <w:r>
        <w:t xml:space="preserve">. </w:t>
      </w:r>
      <w:r w:rsidRPr="00CD5E09">
        <w:t>Knowledge-graph schema</w:t>
      </w:r>
    </w:p>
    <w:p w14:paraId="77529DFD" w14:textId="77777777" w:rsidR="00CD5E09" w:rsidRDefault="00CD5E09" w:rsidP="00CD5E09">
      <w:pPr>
        <w:pStyle w:val="Heading3"/>
        <w:rPr>
          <w:color w:val="000000"/>
        </w:rPr>
      </w:pPr>
      <w:r>
        <w:rPr>
          <w:color w:val="000000"/>
        </w:rPr>
        <w:t xml:space="preserve">3.5 </w:t>
      </w:r>
      <w:proofErr w:type="spellStart"/>
      <w:r>
        <w:rPr>
          <w:color w:val="000000"/>
        </w:rPr>
        <w:t>Canonicalisation</w:t>
      </w:r>
      <w:proofErr w:type="spellEnd"/>
      <w:r>
        <w:rPr>
          <w:color w:val="000000"/>
        </w:rPr>
        <w:t>, graph cleaning, and governance intelligence backend</w:t>
      </w:r>
    </w:p>
    <w:p w14:paraId="3783DAB0" w14:textId="77777777" w:rsidR="00CD5E09" w:rsidRDefault="00CD5E09" w:rsidP="00CD5E09">
      <w:pPr>
        <w:pStyle w:val="NormalWeb"/>
        <w:rPr>
          <w:color w:val="000000"/>
        </w:rPr>
      </w:pPr>
      <w:r>
        <w:rPr>
          <w:color w:val="000000"/>
        </w:rPr>
        <w:t xml:space="preserve">Extracted entities were </w:t>
      </w:r>
      <w:proofErr w:type="spellStart"/>
      <w:r>
        <w:rPr>
          <w:color w:val="000000"/>
        </w:rPr>
        <w:t>canonicalised</w:t>
      </w:r>
      <w:proofErr w:type="spellEnd"/>
      <w:r>
        <w:rPr>
          <w:color w:val="000000"/>
        </w:rPr>
        <w:t xml:space="preserve"> through conservative normalisation (case/whitespace/punctuation) and assigned deterministic identifiers to support deduplication and stable downstream analysis. A targeted second extraction pass was used to improve coverage based on initial diagnostics. The raw graph was then cleaned through three operations: (</w:t>
      </w:r>
      <w:proofErr w:type="spellStart"/>
      <w:r>
        <w:rPr>
          <w:color w:val="000000"/>
        </w:rPr>
        <w:t>i</w:t>
      </w:r>
      <w:proofErr w:type="spellEnd"/>
      <w:r>
        <w:rPr>
          <w:color w:val="000000"/>
        </w:rPr>
        <w:t>) pruning generic high-degree hub concepts that artificially connect unrelated governance elements, (ii) resolving cross-type duplicates via conservative clustering followed by deterministic LLM adjudication (to correct mis-typed entities and merge true duplicates), and (iii) a final exact-match deduplication pass after type corrections.</w:t>
      </w:r>
    </w:p>
    <w:p w14:paraId="58695B71" w14:textId="77777777" w:rsidR="00CD5E09" w:rsidRDefault="00CD5E09" w:rsidP="00CD5E09">
      <w:pPr>
        <w:pStyle w:val="NormalWeb"/>
        <w:rPr>
          <w:color w:val="000000"/>
        </w:rPr>
      </w:pPr>
      <w:r>
        <w:rPr>
          <w:color w:val="000000"/>
        </w:rPr>
        <w:t>The cleaned graph was operationalised as a governance intelligence backend with three integrated components:</w:t>
      </w:r>
    </w:p>
    <w:p w14:paraId="5CE5DF28" w14:textId="77777777" w:rsidR="00CD5E09" w:rsidRDefault="00CD5E09" w:rsidP="00CD5E09">
      <w:pPr>
        <w:pStyle w:val="NormalWeb"/>
        <w:numPr>
          <w:ilvl w:val="0"/>
          <w:numId w:val="3"/>
        </w:numPr>
        <w:rPr>
          <w:color w:val="000000"/>
        </w:rPr>
      </w:pPr>
      <w:r>
        <w:rPr>
          <w:rStyle w:val="Strong"/>
          <w:color w:val="000000"/>
        </w:rPr>
        <w:t>Graph store:</w:t>
      </w:r>
      <w:r>
        <w:rPr>
          <w:rStyle w:val="apple-converted-space"/>
          <w:color w:val="000000"/>
        </w:rPr>
        <w:t> </w:t>
      </w:r>
      <w:r>
        <w:rPr>
          <w:color w:val="000000"/>
        </w:rPr>
        <w:t>a directed multigraph with indices and traversal utilities (entity lookup, neighbour retrieval with predicate/type filters, ego-subgraph extraction, and jurisdiction-scoped queries).</w:t>
      </w:r>
    </w:p>
    <w:p w14:paraId="79AEEAF4" w14:textId="77777777" w:rsidR="00CD5E09" w:rsidRDefault="00CD5E09" w:rsidP="00CD5E09">
      <w:pPr>
        <w:pStyle w:val="NormalWeb"/>
        <w:numPr>
          <w:ilvl w:val="0"/>
          <w:numId w:val="3"/>
        </w:numPr>
        <w:rPr>
          <w:color w:val="000000"/>
        </w:rPr>
      </w:pPr>
      <w:r>
        <w:rPr>
          <w:rStyle w:val="Strong"/>
          <w:color w:val="000000"/>
        </w:rPr>
        <w:t>Vector store:</w:t>
      </w:r>
      <w:r>
        <w:rPr>
          <w:rStyle w:val="apple-converted-space"/>
          <w:color w:val="000000"/>
        </w:rPr>
        <w:t> </w:t>
      </w:r>
      <w:r>
        <w:rPr>
          <w:color w:val="000000"/>
        </w:rPr>
        <w:t>the retained evidence chunks (n = 364) embedded and indexed for semantic retrieval, enabling hybrid evidence access (graph identifies relevant entities/paths; vector search retrieves supporting text).</w:t>
      </w:r>
    </w:p>
    <w:p w14:paraId="46788249" w14:textId="77777777" w:rsidR="00CD5E09" w:rsidRDefault="00CD5E09" w:rsidP="00CD5E09">
      <w:pPr>
        <w:pStyle w:val="NormalWeb"/>
        <w:numPr>
          <w:ilvl w:val="0"/>
          <w:numId w:val="3"/>
        </w:numPr>
        <w:rPr>
          <w:color w:val="000000"/>
        </w:rPr>
      </w:pPr>
      <w:r>
        <w:rPr>
          <w:rStyle w:val="Strong"/>
          <w:color w:val="000000"/>
        </w:rPr>
        <w:t>Query engine:</w:t>
      </w:r>
      <w:r>
        <w:rPr>
          <w:rStyle w:val="apple-converted-space"/>
          <w:color w:val="000000"/>
        </w:rPr>
        <w:t> </w:t>
      </w:r>
      <w:r>
        <w:rPr>
          <w:color w:val="000000"/>
        </w:rPr>
        <w:t>structured query templates supporting governance pathway tracing (Authority → Instrument → Requirement → Practice → Outcome), jurisdictional comparison, gap analysis (barriers without enabling support), entity explanations, and free-form governance questions grounded in retrieved evidence.</w:t>
      </w:r>
    </w:p>
    <w:p w14:paraId="182AF6B9" w14:textId="77777777" w:rsidR="00CD5E09" w:rsidRDefault="00CD5E09" w:rsidP="00CD5E09">
      <w:pPr>
        <w:pStyle w:val="NormalWeb"/>
        <w:rPr>
          <w:color w:val="000000"/>
        </w:rPr>
      </w:pPr>
      <w:r>
        <w:rPr>
          <w:color w:val="000000"/>
        </w:rPr>
        <w:lastRenderedPageBreak/>
        <w:t>To produce readable outputs while preserving auditability, structured query results were rendered through a deterministic retrieval-augmented generation layer configured to (</w:t>
      </w:r>
      <w:proofErr w:type="spellStart"/>
      <w:r>
        <w:rPr>
          <w:color w:val="000000"/>
        </w:rPr>
        <w:t>i</w:t>
      </w:r>
      <w:proofErr w:type="spellEnd"/>
      <w:r>
        <w:rPr>
          <w:color w:val="000000"/>
        </w:rPr>
        <w:t>) rely only on provided graph structures and evidence excerpts, (ii) cite instruments and sources, (iii) acknowledge uncertainty when evidence is insufficient, and (iv) maintain consistent distinctions among instruments, requirements, practices, and outcomes.</w:t>
      </w:r>
    </w:p>
    <w:p w14:paraId="4347E6A2" w14:textId="77777777" w:rsidR="00CD5E09" w:rsidRDefault="00CD5E09" w:rsidP="00CD5E09">
      <w:pPr>
        <w:pStyle w:val="Heading3"/>
        <w:rPr>
          <w:color w:val="000000"/>
        </w:rPr>
      </w:pPr>
      <w:r>
        <w:rPr>
          <w:color w:val="000000"/>
        </w:rPr>
        <w:t>3.6 Extraction yield and quality diagnostics</w:t>
      </w:r>
    </w:p>
    <w:p w14:paraId="38679D02" w14:textId="77777777" w:rsidR="00CD5E09" w:rsidRDefault="00CD5E09" w:rsidP="00CD5E09">
      <w:pPr>
        <w:pStyle w:val="NormalWeb"/>
        <w:rPr>
          <w:color w:val="000000"/>
        </w:rPr>
      </w:pPr>
      <w:r>
        <w:rPr>
          <w:color w:val="000000"/>
        </w:rPr>
        <w:t>Pipeline performance was assessed using extraction yield statistics (entities/relations per chunk), graph size before and after cleaning, connectivity diagnostics, and confidence-weight summaries derived from the Keep/Maybe labels. These diagnostics support transparent reporting of what the pipeline extracted from the analysis corpus and enable robustness checks contrasting high-confidence evidence-only outputs with the expanded graph that retains contextual passages.</w:t>
      </w:r>
    </w:p>
    <w:p w14:paraId="7E9BFF94" w14:textId="77777777" w:rsidR="00844E29" w:rsidRDefault="00844E29" w:rsidP="00844E29">
      <w:pPr>
        <w:spacing w:after="240"/>
      </w:pPr>
    </w:p>
    <w:p w14:paraId="41A8D8B0" w14:textId="77777777" w:rsidR="00844E29" w:rsidRDefault="00844E29" w:rsidP="00844E29"/>
    <w:p w14:paraId="7B4E6BDA" w14:textId="77777777" w:rsidR="009F7A1B" w:rsidRDefault="009F7A1B"/>
    <w:p w14:paraId="4A58F73D" w14:textId="77777777" w:rsidR="009F7A1B" w:rsidRDefault="009F7A1B"/>
    <w:p w14:paraId="0D016607" w14:textId="77777777" w:rsidR="009F7A1B" w:rsidRDefault="009F7A1B"/>
    <w:p w14:paraId="352B383A" w14:textId="5211B95F" w:rsidR="008230C7" w:rsidRDefault="00000000">
      <w:r>
        <w:br w:type="page"/>
      </w:r>
    </w:p>
    <w:p w14:paraId="5618C7C9" w14:textId="5BF8FC4C" w:rsidR="008230C7" w:rsidRDefault="00000000" w:rsidP="00CA59B6">
      <w:pPr>
        <w:pStyle w:val="Heading1"/>
        <w:numPr>
          <w:ilvl w:val="0"/>
          <w:numId w:val="3"/>
        </w:numPr>
      </w:pPr>
      <w:r>
        <w:lastRenderedPageBreak/>
        <w:t>Findings</w:t>
      </w:r>
    </w:p>
    <w:p w14:paraId="51EAEA61" w14:textId="46D73820" w:rsidR="00CA59B6" w:rsidRPr="0069153B" w:rsidRDefault="0069153B" w:rsidP="0069153B">
      <w:pPr>
        <w:pStyle w:val="Heading3"/>
        <w:rPr>
          <w:color w:val="000000"/>
        </w:rPr>
      </w:pPr>
      <w:r>
        <w:rPr>
          <w:color w:val="000000"/>
        </w:rPr>
        <w:t xml:space="preserve">4.1. </w:t>
      </w:r>
      <w:r w:rsidR="00CA59B6" w:rsidRPr="0069153B">
        <w:rPr>
          <w:color w:val="000000"/>
        </w:rPr>
        <w:t xml:space="preserve">Deconstruction: an overlooked area in </w:t>
      </w:r>
      <w:r w:rsidR="00A63DEC">
        <w:rPr>
          <w:color w:val="000000"/>
        </w:rPr>
        <w:t xml:space="preserve">Australian </w:t>
      </w:r>
      <w:r w:rsidR="00CA59B6" w:rsidRPr="0069153B">
        <w:rPr>
          <w:color w:val="000000"/>
        </w:rPr>
        <w:t>circular economy domain</w:t>
      </w:r>
    </w:p>
    <w:p w14:paraId="19B1F0DF" w14:textId="1DFA13C2" w:rsidR="002B7940" w:rsidRDefault="00CA59B6" w:rsidP="002B7940">
      <w:pPr>
        <w:pStyle w:val="Caption"/>
        <w:rPr>
          <w:color w:val="000000"/>
        </w:rPr>
      </w:pPr>
      <w:r w:rsidRPr="00AD6221">
        <w:rPr>
          <w:i w:val="0"/>
          <w:iCs w:val="0"/>
          <w:color w:val="000000"/>
          <w:sz w:val="24"/>
          <w:szCs w:val="24"/>
        </w:rPr>
        <w:t xml:space="preserve">Across the assembled governance corpus (n = 95 documents; 4,313 pages; ~1.42M words), the dominant framing is circular economy and resource recovery, while deconstruction appears as a comparatively weak and unevenly distributed signal. As summarised in </w:t>
      </w:r>
      <w:r w:rsidR="00A63DEC" w:rsidRPr="00AD6221">
        <w:rPr>
          <w:i w:val="0"/>
          <w:iCs w:val="0"/>
          <w:color w:val="000000"/>
          <w:sz w:val="24"/>
          <w:szCs w:val="24"/>
        </w:rPr>
        <w:fldChar w:fldCharType="begin"/>
      </w:r>
      <w:r w:rsidR="00A63DEC" w:rsidRPr="00AD6221">
        <w:rPr>
          <w:i w:val="0"/>
          <w:iCs w:val="0"/>
          <w:color w:val="000000"/>
          <w:sz w:val="24"/>
          <w:szCs w:val="24"/>
        </w:rPr>
        <w:instrText xml:space="preserve"> REF _Ref222218822 \h </w:instrText>
      </w:r>
      <w:r w:rsidR="00A63DEC" w:rsidRPr="00AD6221">
        <w:rPr>
          <w:i w:val="0"/>
          <w:iCs w:val="0"/>
          <w:color w:val="000000"/>
          <w:sz w:val="24"/>
          <w:szCs w:val="24"/>
        </w:rPr>
      </w:r>
      <w:r w:rsidR="00AD6221">
        <w:rPr>
          <w:i w:val="0"/>
          <w:iCs w:val="0"/>
          <w:color w:val="000000"/>
          <w:sz w:val="24"/>
          <w:szCs w:val="24"/>
        </w:rPr>
        <w:instrText xml:space="preserve"> \* MERGEFORMAT </w:instrText>
      </w:r>
      <w:r w:rsidR="00A63DEC" w:rsidRPr="00AD6221">
        <w:rPr>
          <w:i w:val="0"/>
          <w:iCs w:val="0"/>
          <w:color w:val="000000"/>
          <w:sz w:val="24"/>
          <w:szCs w:val="24"/>
        </w:rPr>
        <w:fldChar w:fldCharType="separate"/>
      </w:r>
      <w:r w:rsidR="00A63DEC" w:rsidRPr="00AD6221">
        <w:rPr>
          <w:i w:val="0"/>
          <w:iCs w:val="0"/>
          <w:color w:val="000000"/>
          <w:sz w:val="24"/>
          <w:szCs w:val="24"/>
        </w:rPr>
        <w:t>Table 1</w:t>
      </w:r>
      <w:r w:rsidR="00A63DEC" w:rsidRPr="00AD6221">
        <w:rPr>
          <w:i w:val="0"/>
          <w:iCs w:val="0"/>
          <w:color w:val="000000"/>
          <w:sz w:val="24"/>
          <w:szCs w:val="24"/>
        </w:rPr>
        <w:fldChar w:fldCharType="end"/>
      </w:r>
      <w:r w:rsidRPr="00AD6221">
        <w:rPr>
          <w:i w:val="0"/>
          <w:iCs w:val="0"/>
          <w:color w:val="000000"/>
          <w:sz w:val="24"/>
          <w:szCs w:val="24"/>
        </w:rPr>
        <w:t>, only 35/95 documents (36.8%) contain any deconstruction-related content, and the cumulative deconstruction-associated text totals 63,426 words, representing 4.47% of the corpus when weighted by document length. This indicates that deconstruction—despite being operationally central to high-value reuse and component salvage—is not consistently articulated as an explicit governance focus across the broader circular economy evidence base.</w:t>
      </w:r>
      <w:r w:rsidRPr="00AD6221">
        <w:rPr>
          <w:i w:val="0"/>
          <w:iCs w:val="0"/>
          <w:color w:val="000000"/>
          <w:sz w:val="24"/>
          <w:szCs w:val="24"/>
        </w:rPr>
        <w:t xml:space="preserve"> </w:t>
      </w:r>
      <w:r w:rsidRPr="00AD6221">
        <w:rPr>
          <w:i w:val="0"/>
          <w:iCs w:val="0"/>
          <w:color w:val="000000"/>
          <w:sz w:val="24"/>
          <w:szCs w:val="24"/>
        </w:rPr>
        <w:t xml:space="preserve">The temporal distribution </w:t>
      </w:r>
      <w:r w:rsidR="00A63DEC" w:rsidRPr="00AD6221">
        <w:rPr>
          <w:i w:val="0"/>
          <w:iCs w:val="0"/>
          <w:color w:val="000000"/>
          <w:sz w:val="24"/>
          <w:szCs w:val="24"/>
        </w:rPr>
        <w:t xml:space="preserve">also </w:t>
      </w:r>
      <w:r w:rsidRPr="00AD6221">
        <w:rPr>
          <w:i w:val="0"/>
          <w:iCs w:val="0"/>
          <w:color w:val="000000"/>
          <w:sz w:val="24"/>
          <w:szCs w:val="24"/>
        </w:rPr>
        <w:t>suggests that both the overall corpus and deconstruction-relevant material are concentrated in more recent years.</w:t>
      </w:r>
      <w:r w:rsidRPr="00CA59B6">
        <w:rPr>
          <w:color w:val="000000"/>
        </w:rPr>
        <w:t xml:space="preserve"> </w:t>
      </w:r>
      <w:r w:rsidR="002B7940">
        <w:rPr>
          <w:color w:val="000000"/>
        </w:rPr>
        <w:br/>
      </w:r>
      <w:r w:rsidR="002B7940">
        <w:rPr>
          <w:color w:val="000000"/>
        </w:rPr>
        <w:br/>
      </w:r>
      <w:bookmarkStart w:id="2" w:name="_Ref222218822"/>
      <w:r w:rsidR="002B7940">
        <w:t xml:space="preserve">Table </w:t>
      </w:r>
      <w:r w:rsidR="002B7940">
        <w:fldChar w:fldCharType="begin"/>
      </w:r>
      <w:r w:rsidR="002B7940">
        <w:instrText xml:space="preserve"> SEQ Table \* ARABIC </w:instrText>
      </w:r>
      <w:r w:rsidR="002B7940">
        <w:fldChar w:fldCharType="separate"/>
      </w:r>
      <w:r w:rsidR="002B7940">
        <w:rPr>
          <w:noProof/>
        </w:rPr>
        <w:t>1</w:t>
      </w:r>
      <w:r w:rsidR="002B7940">
        <w:fldChar w:fldCharType="end"/>
      </w:r>
      <w:bookmarkEnd w:id="2"/>
      <w:r w:rsidR="002B7940">
        <w:t xml:space="preserve">. </w:t>
      </w:r>
      <w:r w:rsidR="002B7940" w:rsidRPr="00A63DEC">
        <w:t>Corpus scope and deconstruction signal summary</w:t>
      </w:r>
    </w:p>
    <w:tbl>
      <w:tblPr>
        <w:tblStyle w:val="TableGrid"/>
        <w:tblW w:w="5000" w:type="pct"/>
        <w:tblLook w:val="04A0" w:firstRow="1" w:lastRow="0" w:firstColumn="1" w:lastColumn="0" w:noHBand="0" w:noVBand="1"/>
      </w:tblPr>
      <w:tblGrid>
        <w:gridCol w:w="7139"/>
        <w:gridCol w:w="1877"/>
      </w:tblGrid>
      <w:tr w:rsidR="002B7940" w:rsidRPr="00AD6221" w14:paraId="77904411" w14:textId="77777777" w:rsidTr="002B7940">
        <w:trPr>
          <w:trHeight w:val="320"/>
        </w:trPr>
        <w:tc>
          <w:tcPr>
            <w:tcW w:w="3959" w:type="pct"/>
            <w:noWrap/>
            <w:hideMark/>
          </w:tcPr>
          <w:p w14:paraId="36928354"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Metric</w:t>
            </w:r>
          </w:p>
        </w:tc>
        <w:tc>
          <w:tcPr>
            <w:tcW w:w="1041" w:type="pct"/>
            <w:noWrap/>
            <w:hideMark/>
          </w:tcPr>
          <w:p w14:paraId="2DC4F24D"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Value</w:t>
            </w:r>
          </w:p>
        </w:tc>
      </w:tr>
      <w:tr w:rsidR="002B7940" w:rsidRPr="00AD6221" w14:paraId="1E788661" w14:textId="77777777" w:rsidTr="002B7940">
        <w:trPr>
          <w:trHeight w:val="320"/>
        </w:trPr>
        <w:tc>
          <w:tcPr>
            <w:tcW w:w="3959" w:type="pct"/>
            <w:noWrap/>
            <w:hideMark/>
          </w:tcPr>
          <w:p w14:paraId="7490470B"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Total documents</w:t>
            </w:r>
          </w:p>
        </w:tc>
        <w:tc>
          <w:tcPr>
            <w:tcW w:w="1041" w:type="pct"/>
            <w:noWrap/>
            <w:hideMark/>
          </w:tcPr>
          <w:p w14:paraId="5E026F66"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95</w:t>
            </w:r>
          </w:p>
        </w:tc>
      </w:tr>
      <w:tr w:rsidR="002B7940" w:rsidRPr="00AD6221" w14:paraId="47F65DAE" w14:textId="77777777" w:rsidTr="002B7940">
        <w:trPr>
          <w:trHeight w:val="320"/>
        </w:trPr>
        <w:tc>
          <w:tcPr>
            <w:tcW w:w="3959" w:type="pct"/>
            <w:noWrap/>
            <w:hideMark/>
          </w:tcPr>
          <w:p w14:paraId="10C8076A"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Total pages</w:t>
            </w:r>
          </w:p>
        </w:tc>
        <w:tc>
          <w:tcPr>
            <w:tcW w:w="1041" w:type="pct"/>
            <w:noWrap/>
            <w:hideMark/>
          </w:tcPr>
          <w:p w14:paraId="64D12E9E"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4313</w:t>
            </w:r>
          </w:p>
        </w:tc>
      </w:tr>
      <w:tr w:rsidR="002B7940" w:rsidRPr="00AD6221" w14:paraId="072EBD98" w14:textId="77777777" w:rsidTr="002B7940">
        <w:trPr>
          <w:trHeight w:val="320"/>
        </w:trPr>
        <w:tc>
          <w:tcPr>
            <w:tcW w:w="3959" w:type="pct"/>
            <w:noWrap/>
            <w:hideMark/>
          </w:tcPr>
          <w:p w14:paraId="5174C6D5"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Total words</w:t>
            </w:r>
          </w:p>
        </w:tc>
        <w:tc>
          <w:tcPr>
            <w:tcW w:w="1041" w:type="pct"/>
            <w:noWrap/>
            <w:hideMark/>
          </w:tcPr>
          <w:p w14:paraId="07FCC56E"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1419553</w:t>
            </w:r>
          </w:p>
        </w:tc>
      </w:tr>
      <w:tr w:rsidR="002B7940" w:rsidRPr="00AD6221" w14:paraId="5F6A9615" w14:textId="77777777" w:rsidTr="002B7940">
        <w:trPr>
          <w:trHeight w:val="320"/>
        </w:trPr>
        <w:tc>
          <w:tcPr>
            <w:tcW w:w="3959" w:type="pct"/>
            <w:noWrap/>
            <w:hideMark/>
          </w:tcPr>
          <w:p w14:paraId="272C1F47"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Docs with deconstruction content</w:t>
            </w:r>
          </w:p>
        </w:tc>
        <w:tc>
          <w:tcPr>
            <w:tcW w:w="1041" w:type="pct"/>
            <w:noWrap/>
            <w:hideMark/>
          </w:tcPr>
          <w:p w14:paraId="62B89CF7"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35 (36.8%)</w:t>
            </w:r>
          </w:p>
        </w:tc>
      </w:tr>
      <w:tr w:rsidR="002B7940" w:rsidRPr="00AD6221" w14:paraId="50DA4D50" w14:textId="77777777" w:rsidTr="002B7940">
        <w:trPr>
          <w:trHeight w:val="320"/>
        </w:trPr>
        <w:tc>
          <w:tcPr>
            <w:tcW w:w="3959" w:type="pct"/>
            <w:noWrap/>
            <w:hideMark/>
          </w:tcPr>
          <w:p w14:paraId="170C821E"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Total deconstruction words</w:t>
            </w:r>
          </w:p>
        </w:tc>
        <w:tc>
          <w:tcPr>
            <w:tcW w:w="1041" w:type="pct"/>
            <w:noWrap/>
            <w:hideMark/>
          </w:tcPr>
          <w:p w14:paraId="55E86E3F"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63426</w:t>
            </w:r>
          </w:p>
        </w:tc>
      </w:tr>
      <w:tr w:rsidR="002B7940" w:rsidRPr="00AD6221" w14:paraId="2864714D" w14:textId="77777777" w:rsidTr="002B7940">
        <w:trPr>
          <w:trHeight w:val="320"/>
        </w:trPr>
        <w:tc>
          <w:tcPr>
            <w:tcW w:w="3959" w:type="pct"/>
            <w:noWrap/>
            <w:hideMark/>
          </w:tcPr>
          <w:p w14:paraId="61D4DB83"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Deconstruction share of corpus (weighted)</w:t>
            </w:r>
          </w:p>
        </w:tc>
        <w:tc>
          <w:tcPr>
            <w:tcW w:w="1041" w:type="pct"/>
            <w:noWrap/>
            <w:hideMark/>
          </w:tcPr>
          <w:p w14:paraId="3DF62E8B"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4.47%</w:t>
            </w:r>
          </w:p>
        </w:tc>
      </w:tr>
      <w:tr w:rsidR="002B7940" w:rsidRPr="00AD6221" w14:paraId="03FA945D" w14:textId="77777777" w:rsidTr="002B7940">
        <w:trPr>
          <w:trHeight w:val="320"/>
        </w:trPr>
        <w:tc>
          <w:tcPr>
            <w:tcW w:w="3959" w:type="pct"/>
            <w:noWrap/>
            <w:hideMark/>
          </w:tcPr>
          <w:p w14:paraId="305B528B" w14:textId="77603705"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Year range (min</w:t>
            </w:r>
            <w:r w:rsidRPr="00AD6221">
              <w:rPr>
                <w:rFonts w:asciiTheme="majorBidi" w:hAnsiTheme="majorBidi" w:cstheme="majorBidi"/>
                <w:color w:val="000000"/>
                <w:sz w:val="21"/>
                <w:szCs w:val="21"/>
              </w:rPr>
              <w:t>-</w:t>
            </w:r>
            <w:r w:rsidRPr="00AD6221">
              <w:rPr>
                <w:rFonts w:asciiTheme="majorBidi" w:hAnsiTheme="majorBidi" w:cstheme="majorBidi"/>
                <w:color w:val="000000"/>
                <w:sz w:val="21"/>
                <w:szCs w:val="21"/>
              </w:rPr>
              <w:t>max)</w:t>
            </w:r>
          </w:p>
        </w:tc>
        <w:tc>
          <w:tcPr>
            <w:tcW w:w="1041" w:type="pct"/>
            <w:noWrap/>
            <w:hideMark/>
          </w:tcPr>
          <w:p w14:paraId="3A7A617C" w14:textId="454710D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2006</w:t>
            </w:r>
            <w:r w:rsidRPr="00AD6221">
              <w:rPr>
                <w:rFonts w:asciiTheme="majorBidi" w:hAnsiTheme="majorBidi" w:cstheme="majorBidi"/>
                <w:color w:val="000000"/>
                <w:sz w:val="21"/>
                <w:szCs w:val="21"/>
              </w:rPr>
              <w:t>-</w:t>
            </w:r>
            <w:r w:rsidRPr="00AD6221">
              <w:rPr>
                <w:rFonts w:asciiTheme="majorBidi" w:hAnsiTheme="majorBidi" w:cstheme="majorBidi"/>
                <w:color w:val="000000"/>
                <w:sz w:val="21"/>
                <w:szCs w:val="21"/>
              </w:rPr>
              <w:t>2026</w:t>
            </w:r>
          </w:p>
        </w:tc>
      </w:tr>
      <w:tr w:rsidR="002B7940" w:rsidRPr="00AD6221" w14:paraId="04DA8F5E" w14:textId="77777777" w:rsidTr="002B7940">
        <w:trPr>
          <w:trHeight w:val="320"/>
        </w:trPr>
        <w:tc>
          <w:tcPr>
            <w:tcW w:w="3959" w:type="pct"/>
            <w:noWrap/>
            <w:hideMark/>
          </w:tcPr>
          <w:p w14:paraId="3F1A5DBF"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Median year</w:t>
            </w:r>
          </w:p>
        </w:tc>
        <w:tc>
          <w:tcPr>
            <w:tcW w:w="1041" w:type="pct"/>
            <w:noWrap/>
            <w:hideMark/>
          </w:tcPr>
          <w:p w14:paraId="718B376F"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2023</w:t>
            </w:r>
          </w:p>
        </w:tc>
      </w:tr>
      <w:tr w:rsidR="002B7940" w:rsidRPr="00AD6221" w14:paraId="747190E9" w14:textId="77777777" w:rsidTr="002B7940">
        <w:trPr>
          <w:trHeight w:val="320"/>
        </w:trPr>
        <w:tc>
          <w:tcPr>
            <w:tcW w:w="3959" w:type="pct"/>
            <w:noWrap/>
            <w:hideMark/>
          </w:tcPr>
          <w:p w14:paraId="4FBACE28" w14:textId="153F0A52"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Concentration: docs for 50% of deconstruction words</w:t>
            </w:r>
          </w:p>
        </w:tc>
        <w:tc>
          <w:tcPr>
            <w:tcW w:w="1041" w:type="pct"/>
            <w:noWrap/>
            <w:hideMark/>
          </w:tcPr>
          <w:p w14:paraId="4C83B989"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6</w:t>
            </w:r>
          </w:p>
        </w:tc>
      </w:tr>
      <w:tr w:rsidR="002B7940" w:rsidRPr="00AD6221" w14:paraId="51FB3D3C" w14:textId="77777777" w:rsidTr="002B7940">
        <w:trPr>
          <w:trHeight w:val="320"/>
        </w:trPr>
        <w:tc>
          <w:tcPr>
            <w:tcW w:w="3959" w:type="pct"/>
            <w:noWrap/>
            <w:hideMark/>
          </w:tcPr>
          <w:p w14:paraId="43D13A2C" w14:textId="58297EE8"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Concentration: docs for 80% of deconstruction words</w:t>
            </w:r>
          </w:p>
        </w:tc>
        <w:tc>
          <w:tcPr>
            <w:tcW w:w="1041" w:type="pct"/>
            <w:noWrap/>
            <w:hideMark/>
          </w:tcPr>
          <w:p w14:paraId="4CB189AB"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13</w:t>
            </w:r>
          </w:p>
        </w:tc>
      </w:tr>
      <w:tr w:rsidR="002B7940" w:rsidRPr="00AD6221" w14:paraId="5A2C71BD" w14:textId="77777777" w:rsidTr="002B7940">
        <w:trPr>
          <w:trHeight w:val="320"/>
        </w:trPr>
        <w:tc>
          <w:tcPr>
            <w:tcW w:w="3959" w:type="pct"/>
            <w:noWrap/>
            <w:hideMark/>
          </w:tcPr>
          <w:p w14:paraId="2E691804"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Max deconstruction intensity (single doc, unweighted)</w:t>
            </w:r>
          </w:p>
        </w:tc>
        <w:tc>
          <w:tcPr>
            <w:tcW w:w="1041" w:type="pct"/>
            <w:noWrap/>
            <w:hideMark/>
          </w:tcPr>
          <w:p w14:paraId="10CB168A"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37.35%</w:t>
            </w:r>
          </w:p>
        </w:tc>
      </w:tr>
      <w:tr w:rsidR="002B7940" w:rsidRPr="00AD6221" w14:paraId="7F74CACA" w14:textId="77777777" w:rsidTr="002B7940">
        <w:trPr>
          <w:trHeight w:val="320"/>
        </w:trPr>
        <w:tc>
          <w:tcPr>
            <w:tcW w:w="3959" w:type="pct"/>
            <w:noWrap/>
            <w:hideMark/>
          </w:tcPr>
          <w:p w14:paraId="7614560B"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State identified (</w:t>
            </w:r>
            <w:proofErr w:type="gramStart"/>
            <w:r w:rsidRPr="00AD6221">
              <w:rPr>
                <w:rFonts w:asciiTheme="majorBidi" w:hAnsiTheme="majorBidi" w:cstheme="majorBidi"/>
                <w:color w:val="000000"/>
                <w:sz w:val="21"/>
                <w:szCs w:val="21"/>
              </w:rPr>
              <w:t>best-effort</w:t>
            </w:r>
            <w:proofErr w:type="gramEnd"/>
            <w:r w:rsidRPr="00AD6221">
              <w:rPr>
                <w:rFonts w:asciiTheme="majorBidi" w:hAnsiTheme="majorBidi" w:cstheme="majorBidi"/>
                <w:color w:val="000000"/>
                <w:sz w:val="21"/>
                <w:szCs w:val="21"/>
              </w:rPr>
              <w:t>) vs Unknown</w:t>
            </w:r>
          </w:p>
        </w:tc>
        <w:tc>
          <w:tcPr>
            <w:tcW w:w="1041" w:type="pct"/>
            <w:noWrap/>
            <w:hideMark/>
          </w:tcPr>
          <w:p w14:paraId="0535E3E7" w14:textId="77777777" w:rsidR="002B7940" w:rsidRPr="00AD6221" w:rsidRDefault="002B7940" w:rsidP="00AD6221">
            <w:pPr>
              <w:jc w:val="center"/>
              <w:rPr>
                <w:rFonts w:asciiTheme="majorBidi" w:hAnsiTheme="majorBidi" w:cstheme="majorBidi"/>
                <w:color w:val="000000"/>
                <w:sz w:val="21"/>
                <w:szCs w:val="21"/>
              </w:rPr>
            </w:pPr>
            <w:r w:rsidRPr="00AD6221">
              <w:rPr>
                <w:rFonts w:asciiTheme="majorBidi" w:hAnsiTheme="majorBidi" w:cstheme="majorBidi"/>
                <w:color w:val="000000"/>
                <w:sz w:val="21"/>
                <w:szCs w:val="21"/>
              </w:rPr>
              <w:t>21 vs 74</w:t>
            </w:r>
          </w:p>
        </w:tc>
      </w:tr>
    </w:tbl>
    <w:p w14:paraId="39B4870B" w14:textId="10C590A4" w:rsidR="00CA59B6" w:rsidRDefault="00A63DEC" w:rsidP="00CA59B6">
      <w:pPr>
        <w:pStyle w:val="NormalWeb"/>
        <w:rPr>
          <w:color w:val="000000"/>
        </w:rPr>
      </w:pPr>
      <w:r>
        <w:rPr>
          <w:color w:val="000000"/>
        </w:rPr>
        <w:fldChar w:fldCharType="begin"/>
      </w:r>
      <w:r>
        <w:rPr>
          <w:color w:val="000000"/>
        </w:rPr>
        <w:instrText xml:space="preserve"> REF _Ref222218900 \h </w:instrText>
      </w:r>
      <w:r>
        <w:rPr>
          <w:color w:val="000000"/>
        </w:rPr>
      </w:r>
      <w:r>
        <w:rPr>
          <w:color w:val="000000"/>
        </w:rPr>
        <w:fldChar w:fldCharType="separate"/>
      </w:r>
      <w:r>
        <w:t xml:space="preserve">Figure </w:t>
      </w:r>
      <w:r>
        <w:rPr>
          <w:noProof/>
        </w:rPr>
        <w:t>3</w:t>
      </w:r>
      <w:r>
        <w:rPr>
          <w:color w:val="000000"/>
        </w:rPr>
        <w:fldChar w:fldCharType="end"/>
      </w:r>
      <w:r>
        <w:rPr>
          <w:color w:val="000000"/>
        </w:rPr>
        <w:t xml:space="preserve"> </w:t>
      </w:r>
      <w:r w:rsidR="00CA59B6" w:rsidRPr="00CA59B6">
        <w:rPr>
          <w:color w:val="000000"/>
        </w:rPr>
        <w:t>shows that most documents appear post-2018, and that deconstruction-positive documents are present but remain a minority within each recent year, reinforcing the interpretation that deconstruction has not been mainstreamed as a core policy object even as circular economy activity increases.</w:t>
      </w:r>
      <w:r w:rsidR="00CA59B6">
        <w:rPr>
          <w:color w:val="000000"/>
        </w:rPr>
        <w:t xml:space="preserve"> </w:t>
      </w:r>
      <w:r w:rsidR="00CA59B6" w:rsidRPr="00CA59B6">
        <w:rPr>
          <w:color w:val="000000"/>
        </w:rPr>
        <w:t xml:space="preserve">Crucially, deconstruction content is not evenly spread across the 35 deconstruction-positive documents; it is highly concentrated in a small subset of sources. </w:t>
      </w:r>
    </w:p>
    <w:p w14:paraId="63CB5B66" w14:textId="6CF82210" w:rsidR="00CA59B6" w:rsidRDefault="002B7940" w:rsidP="00CA59B6">
      <w:pPr>
        <w:pStyle w:val="NormalWeb"/>
        <w:rPr>
          <w:color w:val="000000"/>
        </w:rPr>
      </w:pPr>
      <w:r>
        <w:rPr>
          <w:noProof/>
          <w:color w:val="000000"/>
        </w:rPr>
        <w:drawing>
          <wp:inline distT="0" distB="0" distL="0" distR="0" wp14:anchorId="063FC1AB" wp14:editId="6F1657C4">
            <wp:extent cx="6325484" cy="1804578"/>
            <wp:effectExtent l="0" t="0" r="0" b="0"/>
            <wp:docPr id="12305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6765" name="Picture 1230506765"/>
                    <pic:cNvPicPr/>
                  </pic:nvPicPr>
                  <pic:blipFill>
                    <a:blip r:embed="rId10"/>
                    <a:stretch>
                      <a:fillRect/>
                    </a:stretch>
                  </pic:blipFill>
                  <pic:spPr>
                    <a:xfrm>
                      <a:off x="0" y="0"/>
                      <a:ext cx="6373082" cy="1818157"/>
                    </a:xfrm>
                    <a:prstGeom prst="rect">
                      <a:avLst/>
                    </a:prstGeom>
                  </pic:spPr>
                </pic:pic>
              </a:graphicData>
            </a:graphic>
          </wp:inline>
        </w:drawing>
      </w:r>
    </w:p>
    <w:p w14:paraId="04BCDF50" w14:textId="771CFBD7" w:rsidR="00CA59B6" w:rsidRDefault="00A63DEC" w:rsidP="00A63DEC">
      <w:pPr>
        <w:pStyle w:val="Caption"/>
        <w:rPr>
          <w:color w:val="000000"/>
        </w:rPr>
      </w:pPr>
      <w:bookmarkStart w:id="3" w:name="_Ref222218900"/>
      <w:r>
        <w:lastRenderedPageBreak/>
        <w:t xml:space="preserve">Figure </w:t>
      </w:r>
      <w:fldSimple w:instr=" SEQ Figure \* ARABIC ">
        <w:r>
          <w:rPr>
            <w:noProof/>
          </w:rPr>
          <w:t>3</w:t>
        </w:r>
      </w:fldSimple>
      <w:bookmarkEnd w:id="3"/>
      <w:r>
        <w:t>. How d</w:t>
      </w:r>
      <w:r w:rsidRPr="00A63DEC">
        <w:t>econstruction is embedded within the reuse/circular economy evidence base</w:t>
      </w:r>
    </w:p>
    <w:p w14:paraId="0A852870" w14:textId="399884CB" w:rsidR="00CA59B6" w:rsidRPr="00CA59B6" w:rsidRDefault="00A63DEC" w:rsidP="00CA59B6">
      <w:pPr>
        <w:pStyle w:val="NormalWeb"/>
        <w:rPr>
          <w:color w:val="000000"/>
        </w:rPr>
      </w:pPr>
      <w:r>
        <w:rPr>
          <w:color w:val="000000"/>
        </w:rPr>
        <w:fldChar w:fldCharType="begin"/>
      </w:r>
      <w:r>
        <w:rPr>
          <w:color w:val="000000"/>
        </w:rPr>
        <w:instrText xml:space="preserve"> REF _Ref222218900 \h </w:instrText>
      </w:r>
      <w:r>
        <w:rPr>
          <w:color w:val="000000"/>
        </w:rPr>
      </w:r>
      <w:r>
        <w:rPr>
          <w:color w:val="000000"/>
        </w:rPr>
        <w:fldChar w:fldCharType="separate"/>
      </w:r>
      <w:r>
        <w:t xml:space="preserve">Figure </w:t>
      </w:r>
      <w:r>
        <w:rPr>
          <w:noProof/>
        </w:rPr>
        <w:t>3</w:t>
      </w:r>
      <w:r>
        <w:rPr>
          <w:color w:val="000000"/>
        </w:rPr>
        <w:fldChar w:fldCharType="end"/>
      </w:r>
      <w:r>
        <w:rPr>
          <w:color w:val="000000"/>
        </w:rPr>
        <w:t xml:space="preserve"> </w:t>
      </w:r>
      <w:r w:rsidR="00CA59B6" w:rsidRPr="00CA59B6">
        <w:rPr>
          <w:color w:val="000000"/>
        </w:rPr>
        <w:t xml:space="preserve">quantifies this concentration: when documents are ranked by deconstruction-word volume, approximately six documents account for ~50% of all deconstruction-associated words, and thirteen documents account for ~80% (also reported in </w:t>
      </w:r>
      <w:r>
        <w:rPr>
          <w:color w:val="000000"/>
        </w:rPr>
        <w:fldChar w:fldCharType="begin"/>
      </w:r>
      <w:r>
        <w:rPr>
          <w:color w:val="000000"/>
        </w:rPr>
        <w:instrText xml:space="preserve"> REF _Ref222218822 \h </w:instrText>
      </w:r>
      <w:r>
        <w:rPr>
          <w:color w:val="000000"/>
        </w:rPr>
      </w:r>
      <w:r>
        <w:rPr>
          <w:color w:val="000000"/>
        </w:rPr>
        <w:fldChar w:fldCharType="separate"/>
      </w:r>
      <w:r>
        <w:t xml:space="preserve">Table </w:t>
      </w:r>
      <w:r>
        <w:rPr>
          <w:noProof/>
        </w:rPr>
        <w:t>1</w:t>
      </w:r>
      <w:r>
        <w:rPr>
          <w:color w:val="000000"/>
        </w:rPr>
        <w:fldChar w:fldCharType="end"/>
      </w:r>
      <w:r w:rsidR="00CA59B6" w:rsidRPr="00CA59B6">
        <w:rPr>
          <w:color w:val="000000"/>
        </w:rPr>
        <w:t xml:space="preserve">). This concentration pattern is consistent with “overlooked core” dynamics: deconstruction receives depth of treatment in a limited number of sources, while </w:t>
      </w:r>
      <w:proofErr w:type="gramStart"/>
      <w:r>
        <w:rPr>
          <w:color w:val="000000"/>
        </w:rPr>
        <w:t>a</w:t>
      </w:r>
      <w:r w:rsidR="00CA59B6" w:rsidRPr="00CA59B6">
        <w:rPr>
          <w:color w:val="000000"/>
        </w:rPr>
        <w:t xml:space="preserve"> majority of</w:t>
      </w:r>
      <w:proofErr w:type="gramEnd"/>
      <w:r w:rsidR="00CA59B6" w:rsidRPr="00CA59B6">
        <w:rPr>
          <w:color w:val="000000"/>
        </w:rPr>
        <w:t xml:space="preserve"> the domain literature advances circular economy objectives using broader (and often less operational) terminology.</w:t>
      </w:r>
      <w:r w:rsidR="00CA59B6">
        <w:rPr>
          <w:color w:val="000000"/>
        </w:rPr>
        <w:t xml:space="preserve"> </w:t>
      </w:r>
      <w:r w:rsidR="00CA59B6" w:rsidRPr="00CA59B6">
        <w:rPr>
          <w:color w:val="000000"/>
        </w:rPr>
        <w:t xml:space="preserve">Finally, </w:t>
      </w:r>
      <w:r>
        <w:rPr>
          <w:color w:val="000000"/>
        </w:rPr>
        <w:fldChar w:fldCharType="begin"/>
      </w:r>
      <w:r>
        <w:rPr>
          <w:color w:val="000000"/>
        </w:rPr>
        <w:instrText xml:space="preserve"> REF _Ref222218900 \h </w:instrText>
      </w:r>
      <w:r>
        <w:rPr>
          <w:color w:val="000000"/>
        </w:rPr>
      </w:r>
      <w:r>
        <w:rPr>
          <w:color w:val="000000"/>
        </w:rPr>
        <w:fldChar w:fldCharType="separate"/>
      </w:r>
      <w:r>
        <w:t xml:space="preserve">Figure </w:t>
      </w:r>
      <w:r>
        <w:rPr>
          <w:noProof/>
        </w:rPr>
        <w:t>3</w:t>
      </w:r>
      <w:r>
        <w:rPr>
          <w:color w:val="000000"/>
        </w:rPr>
        <w:fldChar w:fldCharType="end"/>
      </w:r>
      <w:r w:rsidR="00CA59B6" w:rsidRPr="00CA59B6">
        <w:rPr>
          <w:color w:val="000000"/>
        </w:rPr>
        <w:t xml:space="preserve"> explains why deconstruction can be simultaneously “rare in the corpus” yet “dominant in a few documents.” The scatter shows within-document deconstruction intensity (deconstruction words as a percentage of each document’s words), not the corpus share. A small number of documents reach high intensities (maximum 37.35%, </w:t>
      </w:r>
      <w:r>
        <w:rPr>
          <w:color w:val="000000"/>
        </w:rPr>
        <w:fldChar w:fldCharType="begin"/>
      </w:r>
      <w:r>
        <w:rPr>
          <w:color w:val="000000"/>
        </w:rPr>
        <w:instrText xml:space="preserve"> REF _Ref222218822 \h </w:instrText>
      </w:r>
      <w:r>
        <w:rPr>
          <w:color w:val="000000"/>
        </w:rPr>
      </w:r>
      <w:r>
        <w:rPr>
          <w:color w:val="000000"/>
        </w:rPr>
        <w:fldChar w:fldCharType="separate"/>
      </w:r>
      <w:r>
        <w:t xml:space="preserve">Table </w:t>
      </w:r>
      <w:r>
        <w:rPr>
          <w:noProof/>
        </w:rPr>
        <w:t>1</w:t>
      </w:r>
      <w:r>
        <w:rPr>
          <w:color w:val="000000"/>
        </w:rPr>
        <w:fldChar w:fldCharType="end"/>
      </w:r>
      <w:r w:rsidR="00CA59B6" w:rsidRPr="00CA59B6">
        <w:rPr>
          <w:color w:val="000000"/>
        </w:rPr>
        <w:t xml:space="preserve">), while many documents sit at or near zero. The dashed reference line at 4.47% (corpus-weighted share) demonstrates that these high-intensity documents are exceptions rather than the norm. Together, Panels B and C </w:t>
      </w:r>
      <w:r>
        <w:rPr>
          <w:color w:val="000000"/>
        </w:rPr>
        <w:t xml:space="preserve">in </w:t>
      </w:r>
      <w:r>
        <w:rPr>
          <w:color w:val="000000"/>
        </w:rPr>
        <w:fldChar w:fldCharType="begin"/>
      </w:r>
      <w:r>
        <w:rPr>
          <w:color w:val="000000"/>
        </w:rPr>
        <w:instrText xml:space="preserve"> REF _Ref222218900 \h </w:instrText>
      </w:r>
      <w:r>
        <w:rPr>
          <w:color w:val="000000"/>
        </w:rPr>
      </w:r>
      <w:r>
        <w:rPr>
          <w:color w:val="000000"/>
        </w:rPr>
        <w:fldChar w:fldCharType="separate"/>
      </w:r>
      <w:r>
        <w:t xml:space="preserve">Figure </w:t>
      </w:r>
      <w:r>
        <w:rPr>
          <w:noProof/>
        </w:rPr>
        <w:t>3</w:t>
      </w:r>
      <w:r>
        <w:rPr>
          <w:color w:val="000000"/>
        </w:rPr>
        <w:fldChar w:fldCharType="end"/>
      </w:r>
      <w:r>
        <w:rPr>
          <w:color w:val="000000"/>
        </w:rPr>
        <w:t xml:space="preserve"> </w:t>
      </w:r>
      <w:r w:rsidR="00CA59B6" w:rsidRPr="00CA59B6">
        <w:rPr>
          <w:color w:val="000000"/>
        </w:rPr>
        <w:t>show that deconstruction is present in the evidence base, but specialised and concentrated, supporting the conclusion that it remains under-specified within the broader circular economy governance discourse.</w:t>
      </w:r>
    </w:p>
    <w:p w14:paraId="4FFF7AD5" w14:textId="77777777" w:rsidR="00CA59B6" w:rsidRDefault="00CA59B6" w:rsidP="00CA59B6">
      <w:pPr>
        <w:pStyle w:val="Heading1"/>
      </w:pPr>
    </w:p>
    <w:p w14:paraId="0FB54523" w14:textId="77777777" w:rsidR="008230C7" w:rsidRDefault="00000000">
      <w:pPr>
        <w:spacing w:after="160" w:line="276" w:lineRule="auto"/>
      </w:pPr>
      <w:r>
        <w:rPr>
          <w:i/>
          <w:iCs/>
        </w:rPr>
        <w:t>This section presents the results of deploying the governance intelligence platform against the Australian deconstruction policy corpus. Findings are organised around the four analytical dimensions enabled by the platform’s query engine.</w:t>
      </w:r>
    </w:p>
    <w:p w14:paraId="3829FE65" w14:textId="77777777" w:rsidR="008230C7" w:rsidRDefault="00000000">
      <w:pPr>
        <w:pStyle w:val="Heading2"/>
      </w:pPr>
      <w:r>
        <w:t>4.1. Regulatory Hierarchy and Corpus Composition</w:t>
      </w:r>
    </w:p>
    <w:p w14:paraId="3E1148C0" w14:textId="77777777" w:rsidR="008230C7" w:rsidRDefault="00000000">
      <w:pPr>
        <w:spacing w:before="100" w:after="100"/>
      </w:pPr>
      <w:r>
        <w:rPr>
          <w:i/>
          <w:iCs/>
          <w:color w:val="C4262E"/>
          <w:sz w:val="20"/>
          <w:szCs w:val="20"/>
        </w:rPr>
        <w:t>➤ Report the composition of the 36-document corpus: breakdown by government tier (federal, state, local), document type (Act, Bill, Code, Standard, Strategy, Report), and temporal coverage. Present the entity type distribution from the knowledge graph.</w:t>
      </w:r>
    </w:p>
    <w:p w14:paraId="3820C258" w14:textId="77777777" w:rsidR="008230C7" w:rsidRDefault="00000000">
      <w:pPr>
        <w:spacing w:before="200" w:after="200"/>
        <w:jc w:val="center"/>
      </w:pPr>
      <w:r>
        <w:rPr>
          <w:b/>
          <w:bCs/>
          <w:color w:val="094183"/>
          <w:sz w:val="22"/>
          <w:szCs w:val="22"/>
        </w:rPr>
        <w:t>[Figure 3</w:t>
      </w:r>
      <w:proofErr w:type="gramStart"/>
      <w:r>
        <w:rPr>
          <w:b/>
          <w:bCs/>
          <w:color w:val="094183"/>
          <w:sz w:val="22"/>
          <w:szCs w:val="22"/>
        </w:rPr>
        <w:t>]</w:t>
      </w:r>
      <w:r>
        <w:rPr>
          <w:i/>
          <w:iCs/>
          <w:sz w:val="20"/>
          <w:szCs w:val="20"/>
        </w:rPr>
        <w:t xml:space="preserve">  Summary</w:t>
      </w:r>
      <w:proofErr w:type="gramEnd"/>
      <w:r>
        <w:rPr>
          <w:i/>
          <w:iCs/>
          <w:sz w:val="20"/>
          <w:szCs w:val="20"/>
        </w:rPr>
        <w:t xml:space="preserve"> statistics dashboard: (a) entity type distribution, (b) relation type distribution, (c) node degree distribution (log-scale), (d) platform metrics table.</w:t>
      </w:r>
    </w:p>
    <w:p w14:paraId="5BCC8694" w14:textId="77777777" w:rsidR="008230C7" w:rsidRDefault="00000000">
      <w:pPr>
        <w:spacing w:before="100" w:after="100"/>
      </w:pPr>
      <w:r>
        <w:rPr>
          <w:i/>
          <w:iCs/>
          <w:color w:val="C4262E"/>
          <w:sz w:val="20"/>
          <w:szCs w:val="20"/>
        </w:rPr>
        <w:t>➤ Discuss how the entity distribution reveals the structural emphasis of Australian governance: what entity types dominate, what is underrepresented, and what this implies about regulatory priorities.</w:t>
      </w:r>
    </w:p>
    <w:p w14:paraId="5053C916" w14:textId="77777777" w:rsidR="008230C7" w:rsidRDefault="00000000">
      <w:pPr>
        <w:pStyle w:val="Heading2"/>
      </w:pPr>
      <w:r>
        <w:t>4.2. Governance Pathway Analysis: Design for Disassembly</w:t>
      </w:r>
    </w:p>
    <w:p w14:paraId="39562B5B" w14:textId="77777777" w:rsidR="008230C7" w:rsidRDefault="00000000">
      <w:pPr>
        <w:spacing w:before="100" w:after="100"/>
      </w:pPr>
      <w:r>
        <w:rPr>
          <w:i/>
          <w:iCs/>
          <w:color w:val="C4262E"/>
          <w:sz w:val="20"/>
          <w:szCs w:val="20"/>
        </w:rPr>
        <w:t>➤ Present the results of the governance pathway trace for Design for Disassembly (</w:t>
      </w:r>
      <w:proofErr w:type="spellStart"/>
      <w:r>
        <w:rPr>
          <w:i/>
          <w:iCs/>
          <w:color w:val="C4262E"/>
          <w:sz w:val="20"/>
          <w:szCs w:val="20"/>
        </w:rPr>
        <w:t>DfD</w:t>
      </w:r>
      <w:proofErr w:type="spellEnd"/>
      <w:r>
        <w:rPr>
          <w:i/>
          <w:iCs/>
          <w:color w:val="C4262E"/>
          <w:sz w:val="20"/>
          <w:szCs w:val="20"/>
        </w:rPr>
        <w:t xml:space="preserve">) as the primary case study. Report the number of instruments, requirements, enablers, barriers, and outcomes connected to </w:t>
      </w:r>
      <w:proofErr w:type="spellStart"/>
      <w:r>
        <w:rPr>
          <w:i/>
          <w:iCs/>
          <w:color w:val="C4262E"/>
          <w:sz w:val="20"/>
          <w:szCs w:val="20"/>
        </w:rPr>
        <w:t>DfD</w:t>
      </w:r>
      <w:proofErr w:type="spellEnd"/>
      <w:r>
        <w:rPr>
          <w:i/>
          <w:iCs/>
          <w:color w:val="C4262E"/>
          <w:sz w:val="20"/>
          <w:szCs w:val="20"/>
        </w:rPr>
        <w:t xml:space="preserve"> in the knowledge graph. Discuss the governance chain: which authorities issued which instruments, and which jurisdictions they apply in.</w:t>
      </w:r>
    </w:p>
    <w:p w14:paraId="39CA1E25" w14:textId="77777777" w:rsidR="008230C7" w:rsidRDefault="00000000">
      <w:pPr>
        <w:spacing w:before="200" w:after="200"/>
        <w:jc w:val="center"/>
      </w:pPr>
      <w:r>
        <w:rPr>
          <w:b/>
          <w:bCs/>
          <w:color w:val="094183"/>
          <w:sz w:val="22"/>
          <w:szCs w:val="22"/>
        </w:rPr>
        <w:t>[Figure 4</w:t>
      </w:r>
      <w:proofErr w:type="gramStart"/>
      <w:r>
        <w:rPr>
          <w:b/>
          <w:bCs/>
          <w:color w:val="094183"/>
          <w:sz w:val="22"/>
          <w:szCs w:val="22"/>
        </w:rPr>
        <w:t>]</w:t>
      </w:r>
      <w:r>
        <w:rPr>
          <w:i/>
          <w:iCs/>
          <w:sz w:val="20"/>
          <w:szCs w:val="20"/>
        </w:rPr>
        <w:t xml:space="preserve">  </w:t>
      </w:r>
      <w:proofErr w:type="spellStart"/>
      <w:r>
        <w:rPr>
          <w:i/>
          <w:iCs/>
          <w:sz w:val="20"/>
          <w:szCs w:val="20"/>
        </w:rPr>
        <w:t>DfD</w:t>
      </w:r>
      <w:proofErr w:type="spellEnd"/>
      <w:proofErr w:type="gramEnd"/>
      <w:r>
        <w:rPr>
          <w:i/>
          <w:iCs/>
          <w:sz w:val="20"/>
          <w:szCs w:val="20"/>
        </w:rPr>
        <w:t xml:space="preserve"> governance pathway ego network showing instruments, requirements, barriers, and outcomes connected to Design for Disassembly practice node.</w:t>
      </w:r>
    </w:p>
    <w:p w14:paraId="19F35459" w14:textId="77777777" w:rsidR="008230C7" w:rsidRDefault="00000000">
      <w:pPr>
        <w:spacing w:before="100" w:after="100"/>
      </w:pPr>
      <w:r>
        <w:rPr>
          <w:i/>
          <w:iCs/>
          <w:color w:val="C4262E"/>
          <w:sz w:val="20"/>
          <w:szCs w:val="20"/>
        </w:rPr>
        <w:t>➤ Analyse the pathway for completeness: does the chain from Authority → Instrument → Requirement → Practice → Outcome hold, or are there broken links? Identify which jurisdictions have stronger governance chains and which have gaps.</w:t>
      </w:r>
    </w:p>
    <w:p w14:paraId="26F7AB2E" w14:textId="77777777" w:rsidR="008230C7" w:rsidRDefault="00000000">
      <w:pPr>
        <w:pStyle w:val="Heading2"/>
      </w:pPr>
      <w:r>
        <w:t>4.3. Jurisdictional Comparison</w:t>
      </w:r>
    </w:p>
    <w:p w14:paraId="066EDD2E" w14:textId="77777777" w:rsidR="008230C7" w:rsidRDefault="00000000">
      <w:pPr>
        <w:spacing w:before="100" w:after="100"/>
      </w:pPr>
      <w:r>
        <w:rPr>
          <w:i/>
          <w:iCs/>
          <w:color w:val="C4262E"/>
          <w:sz w:val="20"/>
          <w:szCs w:val="20"/>
        </w:rPr>
        <w:lastRenderedPageBreak/>
        <w:t>➤ Present the jurisdictional comparison results for Victoria, New South Wales, and Queensland (and other states as available). Report the number of instruments per jurisdiction, shared instruments across all three, and unique instruments per jurisdiction. Discuss the coverage matrix.</w:t>
      </w:r>
    </w:p>
    <w:p w14:paraId="6627DC8A" w14:textId="77777777" w:rsidR="008230C7" w:rsidRDefault="00000000">
      <w:pPr>
        <w:spacing w:before="200" w:after="200"/>
        <w:jc w:val="center"/>
      </w:pPr>
      <w:r>
        <w:rPr>
          <w:b/>
          <w:bCs/>
          <w:color w:val="094183"/>
          <w:sz w:val="22"/>
          <w:szCs w:val="22"/>
        </w:rPr>
        <w:t>[Figure 5</w:t>
      </w:r>
      <w:proofErr w:type="gramStart"/>
      <w:r>
        <w:rPr>
          <w:b/>
          <w:bCs/>
          <w:color w:val="094183"/>
          <w:sz w:val="22"/>
          <w:szCs w:val="22"/>
        </w:rPr>
        <w:t>]</w:t>
      </w:r>
      <w:r>
        <w:rPr>
          <w:i/>
          <w:iCs/>
          <w:sz w:val="20"/>
          <w:szCs w:val="20"/>
        </w:rPr>
        <w:t xml:space="preserve">  Jurisdictional</w:t>
      </w:r>
      <w:proofErr w:type="gramEnd"/>
      <w:r>
        <w:rPr>
          <w:i/>
          <w:iCs/>
          <w:sz w:val="20"/>
          <w:szCs w:val="20"/>
        </w:rPr>
        <w:t xml:space="preserve"> coverage heatmap: (a) stacked bar chart of entity connections by jurisdiction, (b) binary heatmap of instrument applicability across jurisdictions.</w:t>
      </w:r>
    </w:p>
    <w:p w14:paraId="22448821" w14:textId="77777777" w:rsidR="008230C7" w:rsidRDefault="00000000">
      <w:pPr>
        <w:spacing w:before="100" w:after="100"/>
      </w:pPr>
      <w:r>
        <w:rPr>
          <w:i/>
          <w:iCs/>
          <w:color w:val="C4262E"/>
          <w:sz w:val="20"/>
          <w:szCs w:val="20"/>
        </w:rPr>
        <w:t>➤ Discuss the implications of the Queensland attribution gap identified in the knowledge graph cleaning stage. Analyse whether jurisdictional fragmentation is primarily in instrument coverage, enforcement mechanisms, or both. Compare federal aspirational language versus state-level statutory reality.</w:t>
      </w:r>
    </w:p>
    <w:p w14:paraId="3A272657" w14:textId="77777777" w:rsidR="008230C7" w:rsidRDefault="00000000">
      <w:pPr>
        <w:pStyle w:val="Heading2"/>
      </w:pPr>
      <w:r>
        <w:t>4.4. Gap Analysis: Barriers Without Enabling Instruments</w:t>
      </w:r>
    </w:p>
    <w:p w14:paraId="0AF6B4F8" w14:textId="77777777" w:rsidR="008230C7" w:rsidRDefault="00000000">
      <w:pPr>
        <w:spacing w:before="100" w:after="100"/>
      </w:pPr>
      <w:r>
        <w:rPr>
          <w:i/>
          <w:iCs/>
          <w:color w:val="C4262E"/>
          <w:sz w:val="20"/>
          <w:szCs w:val="20"/>
        </w:rPr>
        <w:t>➤ Present the gap analysis results: total practices analysed, number of gaps identified, and number of high-severity gaps (practices with barriers but zero instruments or enablers). List the most critical gaps and their associated barriers.</w:t>
      </w:r>
    </w:p>
    <w:p w14:paraId="35894E02" w14:textId="77777777" w:rsidR="008230C7" w:rsidRDefault="00000000">
      <w:pPr>
        <w:spacing w:before="200" w:after="200"/>
        <w:jc w:val="center"/>
      </w:pPr>
      <w:r>
        <w:rPr>
          <w:b/>
          <w:bCs/>
          <w:color w:val="094183"/>
          <w:sz w:val="22"/>
          <w:szCs w:val="22"/>
        </w:rPr>
        <w:t>[Figure 6</w:t>
      </w:r>
      <w:proofErr w:type="gramStart"/>
      <w:r>
        <w:rPr>
          <w:b/>
          <w:bCs/>
          <w:color w:val="094183"/>
          <w:sz w:val="22"/>
          <w:szCs w:val="22"/>
        </w:rPr>
        <w:t>]</w:t>
      </w:r>
      <w:r>
        <w:rPr>
          <w:i/>
          <w:iCs/>
          <w:sz w:val="20"/>
          <w:szCs w:val="20"/>
        </w:rPr>
        <w:t xml:space="preserve">  Gap</w:t>
      </w:r>
      <w:proofErr w:type="gramEnd"/>
      <w:r>
        <w:rPr>
          <w:i/>
          <w:iCs/>
          <w:sz w:val="20"/>
          <w:szCs w:val="20"/>
        </w:rPr>
        <w:t xml:space="preserve"> analysis matrix: barriers versus instruments and enablers per practice, with high-severity gaps (zero support) highlighted.</w:t>
      </w:r>
    </w:p>
    <w:p w14:paraId="6F827A3D" w14:textId="77777777" w:rsidR="008230C7" w:rsidRDefault="00000000">
      <w:pPr>
        <w:spacing w:before="100" w:after="100"/>
      </w:pPr>
      <w:r>
        <w:rPr>
          <w:i/>
          <w:iCs/>
          <w:color w:val="C4262E"/>
          <w:sz w:val="20"/>
          <w:szCs w:val="20"/>
        </w:rPr>
        <w:t>➤ Interpret the gap analysis in the context of regulatory inertia: which barriers are legislative (conflicting permits, missing certification), which are institutional (lack of coordination between agencies), and which are market-based (risk-averse procurement)? Discuss how the severity classification (high vs. medium) maps to policy actionability.</w:t>
      </w:r>
    </w:p>
    <w:p w14:paraId="7B987C5A" w14:textId="77777777" w:rsidR="008230C7" w:rsidRDefault="00000000">
      <w:pPr>
        <w:pStyle w:val="Heading2"/>
      </w:pPr>
      <w:r>
        <w:t>4.5. Semantic and Definitional Gaps</w:t>
      </w:r>
    </w:p>
    <w:p w14:paraId="23E79530" w14:textId="77777777" w:rsidR="008230C7" w:rsidRDefault="00000000">
      <w:pPr>
        <w:spacing w:before="100" w:after="100"/>
      </w:pPr>
      <w:r>
        <w:rPr>
          <w:i/>
          <w:iCs/>
          <w:color w:val="C4262E"/>
          <w:sz w:val="20"/>
          <w:szCs w:val="20"/>
        </w:rPr>
        <w:t>➤ Present findings on how ‘deconstruction’ and ‘salvage’ are defined (or not) in the policy corpus. Report the prevalence of generic ‘waste diversion’ language versus specific ‘disassembly’ and ‘component reuse’ mandates. Use entity and relation counts from the knowledge graph to quantify definitional precision.</w:t>
      </w:r>
    </w:p>
    <w:p w14:paraId="06531C19" w14:textId="77777777" w:rsidR="008230C7" w:rsidRDefault="00000000">
      <w:pPr>
        <w:spacing w:before="100" w:after="100"/>
      </w:pPr>
      <w:r>
        <w:rPr>
          <w:i/>
          <w:iCs/>
          <w:color w:val="C4262E"/>
          <w:sz w:val="20"/>
          <w:szCs w:val="20"/>
        </w:rPr>
        <w:t>➤ Discuss the implications: if policy instruments refer only to ‘waste diversion’ without distinguishing between crushing/downcycling and selective disassembly/reuse, what are the practical consequences for deconstruction practitioners?</w:t>
      </w:r>
    </w:p>
    <w:p w14:paraId="3D698D66" w14:textId="77777777" w:rsidR="008230C7" w:rsidRDefault="00000000">
      <w:pPr>
        <w:pStyle w:val="Heading2"/>
      </w:pPr>
      <w:r>
        <w:t>4.6. Platform Demonstration: Query-Driven Policy Intelligence</w:t>
      </w:r>
    </w:p>
    <w:p w14:paraId="1562633D" w14:textId="77777777" w:rsidR="008230C7" w:rsidRDefault="00000000">
      <w:pPr>
        <w:spacing w:before="100" w:after="100"/>
      </w:pPr>
      <w:r>
        <w:rPr>
          <w:i/>
          <w:iCs/>
          <w:color w:val="C4262E"/>
          <w:sz w:val="20"/>
          <w:szCs w:val="20"/>
        </w:rPr>
        <w:t xml:space="preserve">➤ Present the four demo queries and their Claude-synthesised answers as evidence that the platform functions as an operational governance intelligence tool. Summarise each demo: (1) </w:t>
      </w:r>
      <w:proofErr w:type="spellStart"/>
      <w:r>
        <w:rPr>
          <w:i/>
          <w:iCs/>
          <w:color w:val="C4262E"/>
          <w:sz w:val="20"/>
          <w:szCs w:val="20"/>
        </w:rPr>
        <w:t>DfD</w:t>
      </w:r>
      <w:proofErr w:type="spellEnd"/>
      <w:r>
        <w:rPr>
          <w:i/>
          <w:iCs/>
          <w:color w:val="C4262E"/>
          <w:sz w:val="20"/>
          <w:szCs w:val="20"/>
        </w:rPr>
        <w:t xml:space="preserve"> pathway, (2) jurisdictional comparison, (3) gap analysis, (4) material passports and deconstruction. Emphasise that every claim in the synthesised answers traces back to source documents.</w:t>
      </w:r>
    </w:p>
    <w:p w14:paraId="7A85E530" w14:textId="77777777" w:rsidR="008230C7" w:rsidRDefault="00000000">
      <w:pPr>
        <w:spacing w:before="200" w:after="200"/>
        <w:jc w:val="center"/>
      </w:pPr>
      <w:r>
        <w:rPr>
          <w:b/>
          <w:bCs/>
          <w:color w:val="094183"/>
          <w:sz w:val="22"/>
          <w:szCs w:val="22"/>
        </w:rPr>
        <w:t>[Figure 7</w:t>
      </w:r>
      <w:proofErr w:type="gramStart"/>
      <w:r>
        <w:rPr>
          <w:b/>
          <w:bCs/>
          <w:color w:val="094183"/>
          <w:sz w:val="22"/>
          <w:szCs w:val="22"/>
        </w:rPr>
        <w:t>]</w:t>
      </w:r>
      <w:r>
        <w:rPr>
          <w:i/>
          <w:iCs/>
          <w:sz w:val="20"/>
          <w:szCs w:val="20"/>
        </w:rPr>
        <w:t xml:space="preserve">  Demo</w:t>
      </w:r>
      <w:proofErr w:type="gramEnd"/>
      <w:r>
        <w:rPr>
          <w:i/>
          <w:iCs/>
          <w:sz w:val="20"/>
          <w:szCs w:val="20"/>
        </w:rPr>
        <w:t xml:space="preserve"> Q&amp;A cards: 2×2 grid showing four formatted query–answer pairs with source citations and structured data badges.</w:t>
      </w:r>
    </w:p>
    <w:sectPr w:rsidR="008230C7">
      <w:footerReference w:type="default" r:id="rId11"/>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56F83" w14:textId="77777777" w:rsidR="007E2C5B" w:rsidRDefault="007E2C5B">
      <w:r>
        <w:separator/>
      </w:r>
    </w:p>
  </w:endnote>
  <w:endnote w:type="continuationSeparator" w:id="0">
    <w:p w14:paraId="3145E44C" w14:textId="77777777" w:rsidR="007E2C5B" w:rsidRDefault="007E2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7AF8" w14:textId="78F4F90D" w:rsidR="008230C7" w:rsidRDefault="008230C7">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C0EF6" w14:textId="77777777" w:rsidR="007E2C5B" w:rsidRDefault="007E2C5B">
      <w:r>
        <w:separator/>
      </w:r>
    </w:p>
  </w:footnote>
  <w:footnote w:type="continuationSeparator" w:id="0">
    <w:p w14:paraId="2BEDBEB4" w14:textId="77777777" w:rsidR="007E2C5B" w:rsidRDefault="007E2C5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3632"/>
    <w:multiLevelType w:val="multilevel"/>
    <w:tmpl w:val="C74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272D3D"/>
    <w:multiLevelType w:val="multilevel"/>
    <w:tmpl w:val="53E26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A8650C"/>
    <w:multiLevelType w:val="hybridMultilevel"/>
    <w:tmpl w:val="9182BD66"/>
    <w:lvl w:ilvl="0" w:tplc="6F964642">
      <w:start w:val="1"/>
      <w:numFmt w:val="bullet"/>
      <w:lvlText w:val="●"/>
      <w:lvlJc w:val="left"/>
      <w:pPr>
        <w:ind w:left="720" w:hanging="360"/>
      </w:pPr>
    </w:lvl>
    <w:lvl w:ilvl="1" w:tplc="AB987438">
      <w:start w:val="1"/>
      <w:numFmt w:val="bullet"/>
      <w:lvlText w:val="○"/>
      <w:lvlJc w:val="left"/>
      <w:pPr>
        <w:ind w:left="1440" w:hanging="360"/>
      </w:pPr>
    </w:lvl>
    <w:lvl w:ilvl="2" w:tplc="159429A6">
      <w:start w:val="1"/>
      <w:numFmt w:val="bullet"/>
      <w:lvlText w:val="■"/>
      <w:lvlJc w:val="left"/>
      <w:pPr>
        <w:ind w:left="2160" w:hanging="360"/>
      </w:pPr>
    </w:lvl>
    <w:lvl w:ilvl="3" w:tplc="18EA35D0">
      <w:start w:val="1"/>
      <w:numFmt w:val="bullet"/>
      <w:lvlText w:val="●"/>
      <w:lvlJc w:val="left"/>
      <w:pPr>
        <w:ind w:left="2880" w:hanging="360"/>
      </w:pPr>
    </w:lvl>
    <w:lvl w:ilvl="4" w:tplc="D64833D2">
      <w:start w:val="1"/>
      <w:numFmt w:val="bullet"/>
      <w:lvlText w:val="○"/>
      <w:lvlJc w:val="left"/>
      <w:pPr>
        <w:ind w:left="3600" w:hanging="360"/>
      </w:pPr>
    </w:lvl>
    <w:lvl w:ilvl="5" w:tplc="574EE6E6">
      <w:start w:val="1"/>
      <w:numFmt w:val="bullet"/>
      <w:lvlText w:val="■"/>
      <w:lvlJc w:val="left"/>
      <w:pPr>
        <w:ind w:left="4320" w:hanging="360"/>
      </w:pPr>
    </w:lvl>
    <w:lvl w:ilvl="6" w:tplc="B164BFBA">
      <w:start w:val="1"/>
      <w:numFmt w:val="bullet"/>
      <w:lvlText w:val="●"/>
      <w:lvlJc w:val="left"/>
      <w:pPr>
        <w:ind w:left="5040" w:hanging="360"/>
      </w:pPr>
    </w:lvl>
    <w:lvl w:ilvl="7" w:tplc="BF0A6C3A">
      <w:start w:val="1"/>
      <w:numFmt w:val="bullet"/>
      <w:lvlText w:val="●"/>
      <w:lvlJc w:val="left"/>
      <w:pPr>
        <w:ind w:left="5760" w:hanging="360"/>
      </w:pPr>
    </w:lvl>
    <w:lvl w:ilvl="8" w:tplc="886AE9F6">
      <w:start w:val="1"/>
      <w:numFmt w:val="bullet"/>
      <w:lvlText w:val="●"/>
      <w:lvlJc w:val="left"/>
      <w:pPr>
        <w:ind w:left="6480" w:hanging="360"/>
      </w:pPr>
    </w:lvl>
  </w:abstractNum>
  <w:num w:numId="1" w16cid:durableId="1810056229">
    <w:abstractNumId w:val="2"/>
    <w:lvlOverride w:ilvl="0">
      <w:startOverride w:val="1"/>
    </w:lvlOverride>
  </w:num>
  <w:num w:numId="2" w16cid:durableId="1616867073">
    <w:abstractNumId w:val="0"/>
  </w:num>
  <w:num w:numId="3" w16cid:durableId="928268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removePersonalInformation/>
  <w:removeDateAndTime/>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0C7"/>
    <w:rsid w:val="000E014D"/>
    <w:rsid w:val="00113910"/>
    <w:rsid w:val="00213B57"/>
    <w:rsid w:val="002B0346"/>
    <w:rsid w:val="002B3F14"/>
    <w:rsid w:val="002B7940"/>
    <w:rsid w:val="002E3E16"/>
    <w:rsid w:val="00446A5D"/>
    <w:rsid w:val="00496FF3"/>
    <w:rsid w:val="00593CD6"/>
    <w:rsid w:val="00671A4B"/>
    <w:rsid w:val="0069153B"/>
    <w:rsid w:val="00734923"/>
    <w:rsid w:val="007E2C5B"/>
    <w:rsid w:val="008059E6"/>
    <w:rsid w:val="008230C7"/>
    <w:rsid w:val="00844E29"/>
    <w:rsid w:val="008C44B9"/>
    <w:rsid w:val="009B0CB4"/>
    <w:rsid w:val="009F7A1B"/>
    <w:rsid w:val="00A34E90"/>
    <w:rsid w:val="00A62258"/>
    <w:rsid w:val="00A63DEC"/>
    <w:rsid w:val="00AC2B62"/>
    <w:rsid w:val="00AD6221"/>
    <w:rsid w:val="00B348A0"/>
    <w:rsid w:val="00C57722"/>
    <w:rsid w:val="00C64B1B"/>
    <w:rsid w:val="00CA59B6"/>
    <w:rsid w:val="00CD5E09"/>
    <w:rsid w:val="00E41B25"/>
    <w:rsid w:val="00EA1398"/>
    <w:rsid w:val="00ED6AFC"/>
    <w:rsid w:val="00F515E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1D38F77"/>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200"/>
      <w:outlineLvl w:val="0"/>
    </w:pPr>
    <w:rPr>
      <w:b/>
      <w:bCs/>
      <w:sz w:val="32"/>
      <w:szCs w:val="32"/>
    </w:rPr>
  </w:style>
  <w:style w:type="paragraph" w:styleId="Heading2">
    <w:name w:val="heading 2"/>
    <w:uiPriority w:val="9"/>
    <w:unhideWhenUsed/>
    <w:qFormat/>
    <w:pPr>
      <w:spacing w:before="280" w:after="160"/>
      <w:outlineLvl w:val="1"/>
    </w:pPr>
    <w:rPr>
      <w:b/>
      <w:bCs/>
      <w:sz w:val="26"/>
      <w:szCs w:val="26"/>
    </w:rPr>
  </w:style>
  <w:style w:type="paragraph" w:styleId="Heading3">
    <w:name w:val="heading 3"/>
    <w:uiPriority w:val="9"/>
    <w:semiHidden/>
    <w:unhideWhenUsed/>
    <w:qFormat/>
    <w:pPr>
      <w:spacing w:before="240" w:after="120"/>
      <w:outlineLvl w:val="2"/>
    </w:pPr>
    <w:rPr>
      <w:b/>
      <w:bCs/>
      <w:i/>
      <w:iCs/>
    </w:rPr>
  </w:style>
  <w:style w:type="paragraph" w:styleId="Heading4">
    <w:name w:val="heading 4"/>
    <w:link w:val="Heading4Char"/>
    <w:uiPriority w:val="9"/>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496FF3"/>
    <w:pPr>
      <w:tabs>
        <w:tab w:val="center" w:pos="4513"/>
        <w:tab w:val="right" w:pos="9026"/>
      </w:tabs>
    </w:pPr>
  </w:style>
  <w:style w:type="character" w:customStyle="1" w:styleId="HeaderChar">
    <w:name w:val="Header Char"/>
    <w:basedOn w:val="DefaultParagraphFont"/>
    <w:link w:val="Header"/>
    <w:uiPriority w:val="99"/>
    <w:rsid w:val="00496FF3"/>
  </w:style>
  <w:style w:type="paragraph" w:styleId="Footer">
    <w:name w:val="footer"/>
    <w:basedOn w:val="Normal"/>
    <w:link w:val="FooterChar"/>
    <w:uiPriority w:val="99"/>
    <w:unhideWhenUsed/>
    <w:rsid w:val="00496FF3"/>
    <w:pPr>
      <w:tabs>
        <w:tab w:val="center" w:pos="4513"/>
        <w:tab w:val="right" w:pos="9026"/>
      </w:tabs>
    </w:pPr>
  </w:style>
  <w:style w:type="character" w:customStyle="1" w:styleId="FooterChar">
    <w:name w:val="Footer Char"/>
    <w:basedOn w:val="DefaultParagraphFont"/>
    <w:link w:val="Footer"/>
    <w:uiPriority w:val="99"/>
    <w:rsid w:val="00496FF3"/>
  </w:style>
  <w:style w:type="paragraph" w:styleId="NormalWeb">
    <w:name w:val="Normal (Web)"/>
    <w:basedOn w:val="Normal"/>
    <w:uiPriority w:val="99"/>
    <w:unhideWhenUsed/>
    <w:rsid w:val="002B0346"/>
    <w:pPr>
      <w:spacing w:before="100" w:beforeAutospacing="1" w:after="100" w:afterAutospacing="1"/>
    </w:pPr>
  </w:style>
  <w:style w:type="paragraph" w:styleId="Caption">
    <w:name w:val="caption"/>
    <w:basedOn w:val="Normal"/>
    <w:next w:val="Normal"/>
    <w:uiPriority w:val="35"/>
    <w:unhideWhenUsed/>
    <w:qFormat/>
    <w:rsid w:val="00B348A0"/>
    <w:pPr>
      <w:spacing w:after="200"/>
    </w:pPr>
    <w:rPr>
      <w:i/>
      <w:iCs/>
      <w:color w:val="0E2841" w:themeColor="text2"/>
      <w:sz w:val="18"/>
      <w:szCs w:val="18"/>
    </w:rPr>
  </w:style>
  <w:style w:type="character" w:styleId="Strong">
    <w:name w:val="Strong"/>
    <w:basedOn w:val="DefaultParagraphFont"/>
    <w:uiPriority w:val="22"/>
    <w:qFormat/>
    <w:rsid w:val="00CD5E09"/>
    <w:rPr>
      <w:b/>
      <w:bCs/>
    </w:rPr>
  </w:style>
  <w:style w:type="character" w:customStyle="1" w:styleId="apple-converted-space">
    <w:name w:val="apple-converted-space"/>
    <w:basedOn w:val="DefaultParagraphFont"/>
    <w:rsid w:val="00CD5E09"/>
  </w:style>
  <w:style w:type="character" w:styleId="Emphasis">
    <w:name w:val="Emphasis"/>
    <w:basedOn w:val="DefaultParagraphFont"/>
    <w:uiPriority w:val="20"/>
    <w:qFormat/>
    <w:rsid w:val="00CD5E09"/>
    <w:rPr>
      <w:i/>
      <w:iCs/>
    </w:rPr>
  </w:style>
  <w:style w:type="paragraph" w:customStyle="1" w:styleId="p1">
    <w:name w:val="p1"/>
    <w:basedOn w:val="Normal"/>
    <w:rsid w:val="00734923"/>
    <w:pPr>
      <w:spacing w:before="100" w:beforeAutospacing="1" w:after="100" w:afterAutospacing="1"/>
    </w:pPr>
  </w:style>
  <w:style w:type="character" w:customStyle="1" w:styleId="s1">
    <w:name w:val="s1"/>
    <w:basedOn w:val="DefaultParagraphFont"/>
    <w:rsid w:val="00734923"/>
  </w:style>
  <w:style w:type="paragraph" w:customStyle="1" w:styleId="p2">
    <w:name w:val="p2"/>
    <w:basedOn w:val="Normal"/>
    <w:rsid w:val="00734923"/>
    <w:pPr>
      <w:spacing w:before="100" w:beforeAutospacing="1" w:after="100" w:afterAutospacing="1"/>
    </w:pPr>
  </w:style>
  <w:style w:type="character" w:customStyle="1" w:styleId="Heading4Char">
    <w:name w:val="Heading 4 Char"/>
    <w:basedOn w:val="DefaultParagraphFont"/>
    <w:link w:val="Heading4"/>
    <w:uiPriority w:val="9"/>
    <w:rsid w:val="00CA59B6"/>
    <w:rPr>
      <w:i/>
      <w:iCs/>
      <w:color w:val="2E74B5"/>
    </w:rPr>
  </w:style>
  <w:style w:type="character" w:customStyle="1" w:styleId="s2">
    <w:name w:val="s2"/>
    <w:basedOn w:val="DefaultParagraphFont"/>
    <w:rsid w:val="00CA59B6"/>
  </w:style>
  <w:style w:type="paragraph" w:customStyle="1" w:styleId="p3">
    <w:name w:val="p3"/>
    <w:basedOn w:val="Normal"/>
    <w:rsid w:val="00CA59B6"/>
    <w:pPr>
      <w:spacing w:before="100" w:beforeAutospacing="1" w:after="100" w:afterAutospacing="1"/>
    </w:pPr>
  </w:style>
  <w:style w:type="table" w:styleId="TableGrid">
    <w:name w:val="Table Grid"/>
    <w:basedOn w:val="TableNormal"/>
    <w:uiPriority w:val="39"/>
    <w:rsid w:val="002B79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0C5A4-EDEE-4C4A-AF43-E701EC02A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3265</Words>
  <Characters>19624</Characters>
  <Application>Microsoft Office Word</Application>
  <DocSecurity>0</DocSecurity>
  <Lines>545</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2026-02-16T22:24:00Z</dcterms:created>
  <dcterms:modified xsi:type="dcterms:W3CDTF">2026-02-17T00:58:00Z</dcterms:modified>
</cp:coreProperties>
</file>